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C5" w:rsidRDefault="00242D89" w:rsidP="001C74C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pt;margin-top:-23pt;width:349.1pt;height:29.25pt;z-index:251660288;mso-width-relative:margin;mso-height-relative:margin">
            <v:textbox>
              <w:txbxContent>
                <w:p w:rsidR="00EA5EC8" w:rsidRPr="009E6212" w:rsidRDefault="00906B1E" w:rsidP="00EA5E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TD N°3</w:t>
                  </w:r>
                  <w:r w:rsidR="00EA5EC8" w:rsidRPr="009E621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 : Régulation hormonale de l’ovogénèse</w:t>
                  </w:r>
                </w:p>
                <w:p w:rsidR="00EA5EC8" w:rsidRDefault="00EA5EC8" w:rsidP="00EA5EC8"/>
              </w:txbxContent>
            </v:textbox>
          </v:shape>
        </w:pict>
      </w:r>
    </w:p>
    <w:p w:rsidR="009E6212" w:rsidRDefault="009E6212" w:rsidP="001C74C5">
      <w:pPr>
        <w:jc w:val="center"/>
      </w:pPr>
    </w:p>
    <w:p w:rsidR="001C74C5" w:rsidRDefault="001C74C5" w:rsidP="001C74C5">
      <w:r w:rsidRPr="001C74C5">
        <w:rPr>
          <w:noProof/>
          <w:lang w:eastAsia="fr-FR"/>
        </w:rPr>
        <w:drawing>
          <wp:inline distT="0" distB="0" distL="0" distR="0">
            <wp:extent cx="5613346" cy="6680549"/>
            <wp:effectExtent l="19050" t="0" r="6404" b="0"/>
            <wp:docPr id="4" name="Image 4" descr="http://svt.ac-dijon.fr/schemassvt/IMG/gif/repr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t.ac-dijon.fr/schemassvt/IMG/gif/repro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21" cy="668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AB" w:rsidRPr="009E6212" w:rsidRDefault="005614BF" w:rsidP="00AB1F70">
      <w:pPr>
        <w:jc w:val="center"/>
        <w:rPr>
          <w:rFonts w:asciiTheme="majorBidi" w:hAnsiTheme="majorBidi" w:cstheme="majorBidi"/>
          <w:sz w:val="24"/>
          <w:szCs w:val="24"/>
        </w:rPr>
      </w:pPr>
      <w:r w:rsidRPr="009E6212">
        <w:rPr>
          <w:rFonts w:asciiTheme="majorBidi" w:hAnsiTheme="majorBidi" w:cstheme="majorBidi"/>
          <w:sz w:val="24"/>
          <w:szCs w:val="24"/>
          <w:u w:val="single"/>
        </w:rPr>
        <w:t>Figure 1</w:t>
      </w:r>
      <w:r w:rsidRPr="009E6212">
        <w:rPr>
          <w:rFonts w:asciiTheme="majorBidi" w:hAnsiTheme="majorBidi" w:cstheme="majorBidi"/>
          <w:sz w:val="24"/>
          <w:szCs w:val="24"/>
        </w:rPr>
        <w:t xml:space="preserve"> : </w:t>
      </w:r>
      <w:r w:rsidR="00AB1F70" w:rsidRPr="009E6212">
        <w:rPr>
          <w:rFonts w:asciiTheme="majorBidi" w:hAnsiTheme="majorBidi" w:cstheme="majorBidi"/>
          <w:sz w:val="24"/>
          <w:szCs w:val="24"/>
        </w:rPr>
        <w:t>Contrôle hormonal de l’appareil génital femelle</w:t>
      </w:r>
    </w:p>
    <w:p w:rsidR="004242AB" w:rsidRDefault="004242AB" w:rsidP="001C74C5"/>
    <w:p w:rsidR="00F84F3F" w:rsidRDefault="00F84F3F" w:rsidP="001C74C5"/>
    <w:p w:rsidR="00F84F3F" w:rsidRDefault="00F84F3F" w:rsidP="001C74C5"/>
    <w:p w:rsidR="00D5389E" w:rsidRPr="009E6212" w:rsidRDefault="00D5389E" w:rsidP="009E6212">
      <w:pPr>
        <w:jc w:val="center"/>
        <w:rPr>
          <w:sz w:val="24"/>
          <w:szCs w:val="24"/>
        </w:rPr>
      </w:pPr>
      <w:r w:rsidRPr="009E6212"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48275" cy="4564380"/>
            <wp:effectExtent l="19050" t="0" r="952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BF" w:rsidRPr="009E6212">
        <w:rPr>
          <w:sz w:val="24"/>
          <w:szCs w:val="24"/>
          <w:u w:val="single"/>
        </w:rPr>
        <w:t>Figure 2</w:t>
      </w:r>
      <w:r w:rsidR="005614BF" w:rsidRPr="009E6212">
        <w:rPr>
          <w:sz w:val="24"/>
          <w:szCs w:val="24"/>
        </w:rPr>
        <w:t> : Schéma</w:t>
      </w:r>
      <w:r w:rsidRPr="009E6212">
        <w:rPr>
          <w:sz w:val="24"/>
          <w:szCs w:val="24"/>
        </w:rPr>
        <w:t xml:space="preserve"> simplifiant la régulation hormonale chez la femme</w:t>
      </w:r>
    </w:p>
    <w:p w:rsidR="005614BF" w:rsidRPr="002E7648" w:rsidRDefault="00D5389E" w:rsidP="003A641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2E7648">
        <w:rPr>
          <w:rFonts w:asciiTheme="majorBidi" w:hAnsiTheme="majorBidi" w:cstheme="majorBidi"/>
          <w:b/>
          <w:bCs/>
          <w:u w:val="single"/>
        </w:rPr>
        <w:t xml:space="preserve">Le contrôle hormonal chez </w:t>
      </w:r>
      <w:r w:rsidR="003A641C" w:rsidRPr="002E7648">
        <w:rPr>
          <w:rFonts w:asciiTheme="majorBidi" w:hAnsiTheme="majorBidi" w:cstheme="majorBidi"/>
          <w:b/>
          <w:bCs/>
          <w:u w:val="single"/>
        </w:rPr>
        <w:t>la femme</w:t>
      </w:r>
    </w:p>
    <w:p w:rsidR="003A641C" w:rsidRPr="002E7648" w:rsidRDefault="003A641C" w:rsidP="002E764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Comme chez l’homme, l’hypothalamus constitue un centre neuroendocrinien qui contrôle l’activité hypophysaire en sécrétant une gonadolibérine, la GnRh. La sécrétion de cette hormone est cyclique chez la femme.</w:t>
      </w:r>
      <w:r w:rsidR="002E7648" w:rsidRPr="002E7648">
        <w:rPr>
          <w:rFonts w:asciiTheme="majorBidi" w:hAnsiTheme="majorBidi" w:cstheme="majorBidi"/>
          <w:sz w:val="24"/>
          <w:szCs w:val="24"/>
        </w:rPr>
        <w:t xml:space="preserve"> </w:t>
      </w:r>
      <w:r w:rsidRPr="002E7648">
        <w:rPr>
          <w:rFonts w:asciiTheme="majorBidi" w:hAnsiTheme="majorBidi" w:cstheme="majorBidi"/>
          <w:sz w:val="24"/>
          <w:szCs w:val="24"/>
        </w:rPr>
        <w:t xml:space="preserve">L’hypophyse antérieure ainsi </w:t>
      </w:r>
      <w:r w:rsidR="001705F2" w:rsidRPr="002E7648">
        <w:rPr>
          <w:rFonts w:asciiTheme="majorBidi" w:hAnsiTheme="majorBidi" w:cstheme="majorBidi"/>
          <w:sz w:val="24"/>
          <w:szCs w:val="24"/>
        </w:rPr>
        <w:t>stimulé secrète les g</w:t>
      </w:r>
      <w:r w:rsidR="00CD0235" w:rsidRPr="002E7648">
        <w:rPr>
          <w:rFonts w:asciiTheme="majorBidi" w:hAnsiTheme="majorBidi" w:cstheme="majorBidi"/>
          <w:sz w:val="24"/>
          <w:szCs w:val="24"/>
        </w:rPr>
        <w:t>onadotrophines, la FSH et la LH qui</w:t>
      </w:r>
      <w:r w:rsidR="002E7648" w:rsidRPr="002E7648">
        <w:rPr>
          <w:rFonts w:asciiTheme="majorBidi" w:hAnsiTheme="majorBidi" w:cstheme="majorBidi"/>
          <w:sz w:val="24"/>
          <w:szCs w:val="24"/>
        </w:rPr>
        <w:t xml:space="preserve"> </w:t>
      </w:r>
      <w:r w:rsidR="00CD0235" w:rsidRPr="002E7648">
        <w:rPr>
          <w:rFonts w:asciiTheme="majorBidi" w:hAnsiTheme="majorBidi" w:cstheme="majorBidi"/>
          <w:sz w:val="24"/>
          <w:szCs w:val="24"/>
        </w:rPr>
        <w:t>vont à leur tour agir sur les ovaires.</w:t>
      </w:r>
    </w:p>
    <w:p w:rsidR="001705F2" w:rsidRPr="002E7648" w:rsidRDefault="001705F2" w:rsidP="001705F2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La FSH permet la formation du follicule qui sécrétera alors les œstrogènes.</w:t>
      </w:r>
    </w:p>
    <w:p w:rsidR="00A23F7A" w:rsidRPr="002E7648" w:rsidRDefault="001705F2" w:rsidP="001705F2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La LH permet l’ovulation et la transformation  du follicul</w:t>
      </w:r>
      <w:r w:rsidR="009E6212" w:rsidRPr="002E7648">
        <w:rPr>
          <w:rFonts w:asciiTheme="majorBidi" w:hAnsiTheme="majorBidi" w:cstheme="majorBidi"/>
          <w:sz w:val="24"/>
          <w:szCs w:val="24"/>
        </w:rPr>
        <w:t xml:space="preserve">e en corps jaune qui sécrètera </w:t>
      </w:r>
      <w:r w:rsidRPr="002E7648">
        <w:rPr>
          <w:rFonts w:asciiTheme="majorBidi" w:hAnsiTheme="majorBidi" w:cstheme="majorBidi"/>
          <w:sz w:val="24"/>
          <w:szCs w:val="24"/>
        </w:rPr>
        <w:t>la progestérone.</w:t>
      </w:r>
    </w:p>
    <w:p w:rsidR="001705F2" w:rsidRPr="002E7648" w:rsidRDefault="00A23F7A" w:rsidP="00A23F7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Les œstrogènes agissent sur :</w:t>
      </w:r>
      <w:r w:rsidR="001705F2" w:rsidRPr="002E7648">
        <w:rPr>
          <w:rFonts w:asciiTheme="majorBidi" w:hAnsiTheme="majorBidi" w:cstheme="majorBidi"/>
          <w:sz w:val="24"/>
          <w:szCs w:val="24"/>
        </w:rPr>
        <w:t xml:space="preserve"> </w:t>
      </w:r>
    </w:p>
    <w:p w:rsidR="003A641C" w:rsidRPr="002E7648" w:rsidRDefault="00A23F7A" w:rsidP="00A23F7A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Le développement des organes génitaux.</w:t>
      </w:r>
    </w:p>
    <w:p w:rsidR="00A23F7A" w:rsidRPr="002E7648" w:rsidRDefault="00A23F7A" w:rsidP="00A23F7A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Les caractères secondaires.</w:t>
      </w:r>
    </w:p>
    <w:p w:rsidR="00A23F7A" w:rsidRPr="002E7648" w:rsidRDefault="00A23F7A" w:rsidP="00A23F7A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L’épaississement de la paroi de l’utérus.</w:t>
      </w:r>
    </w:p>
    <w:p w:rsidR="00A23F7A" w:rsidRPr="002E7648" w:rsidRDefault="00A23F7A" w:rsidP="00A23F7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La progestérone :</w:t>
      </w:r>
    </w:p>
    <w:p w:rsidR="00A23F7A" w:rsidRPr="002E7648" w:rsidRDefault="00A23F7A" w:rsidP="00A23F7A">
      <w:pPr>
        <w:pStyle w:val="Sansinterlign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Empêche une nouvelle ovulation après la formation du corps jaune.</w:t>
      </w:r>
    </w:p>
    <w:p w:rsidR="00A23F7A" w:rsidRPr="002E7648" w:rsidRDefault="00A23F7A" w:rsidP="00A23F7A">
      <w:pPr>
        <w:pStyle w:val="Sansinterlign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Continue l’action des œstrogènes au niveau de la paroi de l’</w:t>
      </w:r>
      <w:r w:rsidR="00CD0235" w:rsidRPr="002E7648">
        <w:rPr>
          <w:rFonts w:asciiTheme="majorBidi" w:hAnsiTheme="majorBidi" w:cstheme="majorBidi"/>
          <w:sz w:val="24"/>
          <w:szCs w:val="24"/>
        </w:rPr>
        <w:t>utérus.</w:t>
      </w:r>
    </w:p>
    <w:p w:rsidR="00D372DA" w:rsidRPr="002E7648" w:rsidRDefault="00D372DA" w:rsidP="002E76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7648">
        <w:rPr>
          <w:rFonts w:asciiTheme="majorBidi" w:hAnsiTheme="majorBidi" w:cstheme="majorBidi"/>
          <w:sz w:val="24"/>
          <w:szCs w:val="24"/>
        </w:rPr>
        <w:t>Les hormones ovariennes exercent des rétrocontrôles négatifs sur la production</w:t>
      </w:r>
      <w:r w:rsidR="002E7648" w:rsidRPr="002E7648">
        <w:rPr>
          <w:rFonts w:asciiTheme="majorBidi" w:hAnsiTheme="majorBidi" w:cstheme="majorBidi"/>
          <w:sz w:val="24"/>
          <w:szCs w:val="24"/>
        </w:rPr>
        <w:t xml:space="preserve"> </w:t>
      </w:r>
      <w:r w:rsidRPr="002E7648">
        <w:rPr>
          <w:rFonts w:asciiTheme="majorBidi" w:hAnsiTheme="majorBidi" w:cstheme="majorBidi"/>
          <w:sz w:val="24"/>
          <w:szCs w:val="24"/>
        </w:rPr>
        <w:t>de LH ou de FSH. En effet, la progestérone a un rétrocontrôle négatif sur la LH.</w:t>
      </w:r>
      <w:r w:rsidR="002E7648" w:rsidRPr="002E7648">
        <w:rPr>
          <w:rFonts w:asciiTheme="majorBidi" w:hAnsiTheme="majorBidi" w:cstheme="majorBidi"/>
          <w:sz w:val="24"/>
          <w:szCs w:val="24"/>
        </w:rPr>
        <w:t xml:space="preserve"> </w:t>
      </w:r>
      <w:r w:rsidRPr="002E7648">
        <w:rPr>
          <w:rFonts w:asciiTheme="majorBidi" w:hAnsiTheme="majorBidi" w:cstheme="majorBidi"/>
          <w:sz w:val="24"/>
          <w:szCs w:val="24"/>
        </w:rPr>
        <w:t>Les œstrogènes inhibent la production de FSH.</w:t>
      </w:r>
    </w:p>
    <w:sectPr w:rsidR="00D372DA" w:rsidRPr="002E7648" w:rsidSect="00030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E5A"/>
    <w:multiLevelType w:val="hybridMultilevel"/>
    <w:tmpl w:val="463A70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E0B6D"/>
    <w:multiLevelType w:val="hybridMultilevel"/>
    <w:tmpl w:val="0D0E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42B"/>
    <w:multiLevelType w:val="hybridMultilevel"/>
    <w:tmpl w:val="7598E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4B0A"/>
    <w:multiLevelType w:val="hybridMultilevel"/>
    <w:tmpl w:val="16D42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C74C5"/>
    <w:rsid w:val="00030DCE"/>
    <w:rsid w:val="000465A9"/>
    <w:rsid w:val="000F11B4"/>
    <w:rsid w:val="001705F2"/>
    <w:rsid w:val="001C74C5"/>
    <w:rsid w:val="00242D89"/>
    <w:rsid w:val="00247C75"/>
    <w:rsid w:val="002D49EA"/>
    <w:rsid w:val="002E7648"/>
    <w:rsid w:val="003A641C"/>
    <w:rsid w:val="004242AB"/>
    <w:rsid w:val="004E5B5E"/>
    <w:rsid w:val="005614BF"/>
    <w:rsid w:val="005B148E"/>
    <w:rsid w:val="005E4E21"/>
    <w:rsid w:val="00663F82"/>
    <w:rsid w:val="006A531B"/>
    <w:rsid w:val="006B3852"/>
    <w:rsid w:val="00906B1E"/>
    <w:rsid w:val="009E6212"/>
    <w:rsid w:val="009F58F6"/>
    <w:rsid w:val="00A1333F"/>
    <w:rsid w:val="00A23F7A"/>
    <w:rsid w:val="00AA71E6"/>
    <w:rsid w:val="00AB1F70"/>
    <w:rsid w:val="00B22467"/>
    <w:rsid w:val="00CD0235"/>
    <w:rsid w:val="00D372DA"/>
    <w:rsid w:val="00D5389E"/>
    <w:rsid w:val="00DB0F90"/>
    <w:rsid w:val="00DE6AA8"/>
    <w:rsid w:val="00E15743"/>
    <w:rsid w:val="00EA5EC8"/>
    <w:rsid w:val="00F84622"/>
    <w:rsid w:val="00F84F3F"/>
    <w:rsid w:val="00FA0B2A"/>
    <w:rsid w:val="00FA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A641C"/>
    <w:pPr>
      <w:spacing w:after="0" w:line="240" w:lineRule="auto"/>
    </w:pPr>
  </w:style>
  <w:style w:type="paragraph" w:customStyle="1" w:styleId="Default">
    <w:name w:val="Default"/>
    <w:rsid w:val="00B224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37AC-8FF0-4D21-80C0-00339FC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ZOUAGHI</cp:lastModifiedBy>
  <cp:revision>3</cp:revision>
  <dcterms:created xsi:type="dcterms:W3CDTF">2017-02-13T08:39:00Z</dcterms:created>
  <dcterms:modified xsi:type="dcterms:W3CDTF">2017-02-27T08:54:00Z</dcterms:modified>
</cp:coreProperties>
</file>