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28F" w:rsidRPr="00A3128F" w:rsidRDefault="00A3128F" w:rsidP="00A3128F">
      <w:pPr>
        <w:spacing w:line="360" w:lineRule="auto"/>
        <w:jc w:val="both"/>
        <w:rPr>
          <w:rFonts w:ascii="Bookman Old Style" w:hAnsi="Bookman Old Style"/>
          <w:sz w:val="24"/>
          <w:szCs w:val="24"/>
        </w:rPr>
      </w:pPr>
      <w:r w:rsidRPr="00E13318">
        <w:rPr>
          <w:rFonts w:ascii="Bookman Old Style" w:hAnsi="Bookman Old Style"/>
          <w:b/>
          <w:bCs/>
          <w:sz w:val="24"/>
          <w:szCs w:val="24"/>
        </w:rPr>
        <w:t>Tableau 1 :</w:t>
      </w:r>
      <w:r>
        <w:rPr>
          <w:rFonts w:ascii="Bookman Old Style" w:hAnsi="Bookman Old Style"/>
          <w:sz w:val="24"/>
          <w:szCs w:val="24"/>
        </w:rPr>
        <w:t xml:space="preserve"> Principaux caractères des cellules eucaryotes et procaryotes </w:t>
      </w:r>
    </w:p>
    <w:p w:rsidR="00A3128F" w:rsidRDefault="00A3128F" w:rsidP="00A3128F">
      <w:pPr>
        <w:jc w:val="center"/>
      </w:pPr>
      <w:r w:rsidRPr="00A3128F">
        <w:rPr>
          <w:noProof/>
          <w:lang w:eastAsia="fr-FR"/>
        </w:rPr>
        <w:drawing>
          <wp:inline distT="0" distB="0" distL="0" distR="0">
            <wp:extent cx="6134100" cy="4371975"/>
            <wp:effectExtent l="19050" t="0" r="0" b="0"/>
            <wp:docPr id="2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423" cy="4371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28F" w:rsidRDefault="00A3128F" w:rsidP="00A3128F">
      <w:pPr>
        <w:jc w:val="center"/>
      </w:pPr>
    </w:p>
    <w:p w:rsidR="00A3128F" w:rsidRDefault="00A3128F" w:rsidP="00A3128F">
      <w:pPr>
        <w:jc w:val="center"/>
      </w:pPr>
    </w:p>
    <w:p w:rsidR="00A3128F" w:rsidRDefault="00A3128F" w:rsidP="00A3128F">
      <w:pPr>
        <w:jc w:val="center"/>
      </w:pPr>
    </w:p>
    <w:p w:rsidR="00A3128F" w:rsidRDefault="00A3128F" w:rsidP="00A3128F">
      <w:pPr>
        <w:jc w:val="center"/>
      </w:pPr>
    </w:p>
    <w:p w:rsidR="00A3128F" w:rsidRDefault="00A3128F" w:rsidP="00A3128F">
      <w:pPr>
        <w:jc w:val="center"/>
      </w:pPr>
    </w:p>
    <w:p w:rsidR="00A3128F" w:rsidRDefault="00A3128F" w:rsidP="00A3128F">
      <w:pPr>
        <w:jc w:val="center"/>
      </w:pPr>
    </w:p>
    <w:p w:rsidR="00A3128F" w:rsidRDefault="00A3128F" w:rsidP="00A3128F">
      <w:pPr>
        <w:jc w:val="center"/>
      </w:pPr>
    </w:p>
    <w:p w:rsidR="00F44B35" w:rsidRDefault="00A3128F" w:rsidP="00A3128F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4752975" cy="2895600"/>
            <wp:effectExtent l="19050" t="19050" r="28575" b="190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8956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28F" w:rsidRDefault="00A3128F" w:rsidP="00A3128F">
      <w:pPr>
        <w:jc w:val="center"/>
        <w:rPr>
          <w:b/>
          <w:bCs/>
        </w:rPr>
      </w:pPr>
      <w:r>
        <w:rPr>
          <w:b/>
          <w:bCs/>
        </w:rPr>
        <w:t>Les différentes formes et associations bactériennes</w:t>
      </w:r>
    </w:p>
    <w:p w:rsidR="00B45A8B" w:rsidRPr="002F2D5D" w:rsidRDefault="00B45A8B" w:rsidP="00B45A8B">
      <w:pPr>
        <w:spacing w:before="240"/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b/>
          <w:bCs/>
          <w:sz w:val="24"/>
          <w:szCs w:val="24"/>
        </w:rPr>
        <w:t>Tableau 2</w:t>
      </w:r>
      <w:r w:rsidRPr="00C158E4">
        <w:rPr>
          <w:rFonts w:ascii="Bookman Old Style" w:hAnsi="Bookman Old Style" w:cs="Arial"/>
          <w:b/>
          <w:bCs/>
          <w:sz w:val="24"/>
          <w:szCs w:val="24"/>
        </w:rPr>
        <w:t> :</w:t>
      </w:r>
      <w:r>
        <w:rPr>
          <w:rFonts w:ascii="Bookman Old Style" w:hAnsi="Bookman Old Style" w:cs="Arial"/>
          <w:sz w:val="24"/>
          <w:szCs w:val="24"/>
        </w:rPr>
        <w:t xml:space="preserve"> Eléments constants et non constants des bactéries</w:t>
      </w:r>
    </w:p>
    <w:tbl>
      <w:tblPr>
        <w:tblW w:w="0" w:type="auto"/>
        <w:jc w:val="center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/>
      </w:tblPr>
      <w:tblGrid>
        <w:gridCol w:w="4297"/>
        <w:gridCol w:w="4775"/>
      </w:tblGrid>
      <w:tr w:rsidR="00B45A8B" w:rsidRPr="002F2D5D" w:rsidTr="0038439C">
        <w:trPr>
          <w:jc w:val="center"/>
        </w:trPr>
        <w:tc>
          <w:tcPr>
            <w:tcW w:w="4297" w:type="dxa"/>
            <w:tcBorders>
              <w:right w:val="single" w:sz="4" w:space="0" w:color="auto"/>
            </w:tcBorders>
            <w:vAlign w:val="bottom"/>
          </w:tcPr>
          <w:p w:rsidR="00B45A8B" w:rsidRPr="002F2D5D" w:rsidRDefault="00B45A8B" w:rsidP="0038439C">
            <w:pPr>
              <w:spacing w:before="240" w:after="0"/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 w:rsidRPr="002F2D5D">
              <w:rPr>
                <w:rFonts w:ascii="Bookman Old Style" w:hAnsi="Bookman Old Style"/>
                <w:b/>
                <w:bCs/>
                <w:sz w:val="24"/>
                <w:szCs w:val="24"/>
              </w:rPr>
              <w:t>Eléments constants</w:t>
            </w:r>
          </w:p>
        </w:tc>
        <w:tc>
          <w:tcPr>
            <w:tcW w:w="4775" w:type="dxa"/>
            <w:tcBorders>
              <w:left w:val="single" w:sz="4" w:space="0" w:color="auto"/>
            </w:tcBorders>
            <w:vAlign w:val="bottom"/>
          </w:tcPr>
          <w:p w:rsidR="00B45A8B" w:rsidRPr="002F2D5D" w:rsidRDefault="00B45A8B" w:rsidP="0038439C">
            <w:pPr>
              <w:spacing w:before="240" w:after="0"/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 w:rsidRPr="002F2D5D">
              <w:rPr>
                <w:rFonts w:ascii="Bookman Old Style" w:hAnsi="Bookman Old Style"/>
                <w:b/>
                <w:bCs/>
                <w:sz w:val="24"/>
                <w:szCs w:val="24"/>
              </w:rPr>
              <w:t xml:space="preserve">Eléments </w:t>
            </w: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non constants</w:t>
            </w:r>
          </w:p>
        </w:tc>
      </w:tr>
      <w:tr w:rsidR="00B45A8B" w:rsidRPr="002F2D5D" w:rsidTr="0038439C">
        <w:trPr>
          <w:trHeight w:val="3279"/>
          <w:jc w:val="center"/>
        </w:trPr>
        <w:tc>
          <w:tcPr>
            <w:tcW w:w="4297" w:type="dxa"/>
            <w:tcBorders>
              <w:right w:val="single" w:sz="4" w:space="0" w:color="auto"/>
            </w:tcBorders>
          </w:tcPr>
          <w:p w:rsidR="00B45A8B" w:rsidRPr="000F10DB" w:rsidRDefault="00B45A8B" w:rsidP="0038439C">
            <w:pPr>
              <w:spacing w:before="240" w:after="0"/>
              <w:rPr>
                <w:rFonts w:ascii="Bookman Old Style" w:hAnsi="Bookman Old Style"/>
                <w:sz w:val="24"/>
                <w:szCs w:val="24"/>
              </w:rPr>
            </w:pPr>
          </w:p>
          <w:p w:rsidR="00B45A8B" w:rsidRPr="000F10DB" w:rsidRDefault="00B45A8B" w:rsidP="0038439C">
            <w:pPr>
              <w:spacing w:after="0"/>
              <w:rPr>
                <w:rFonts w:ascii="Bookman Old Style" w:hAnsi="Bookman Old Style"/>
                <w:sz w:val="24"/>
                <w:szCs w:val="24"/>
              </w:rPr>
            </w:pPr>
            <w:r w:rsidRPr="000F10DB">
              <w:rPr>
                <w:rFonts w:ascii="Bookman Old Style" w:hAnsi="Bookman Old Style"/>
                <w:sz w:val="24"/>
                <w:szCs w:val="24"/>
              </w:rPr>
              <w:t xml:space="preserve">Paroi </w:t>
            </w:r>
          </w:p>
          <w:p w:rsidR="00B45A8B" w:rsidRPr="002F2D5D" w:rsidRDefault="00B45A8B" w:rsidP="0038439C">
            <w:pPr>
              <w:spacing w:after="0"/>
              <w:rPr>
                <w:rFonts w:ascii="Bookman Old Style" w:hAnsi="Bookman Old Style"/>
                <w:sz w:val="24"/>
                <w:szCs w:val="24"/>
              </w:rPr>
            </w:pPr>
            <w:r w:rsidRPr="002F2D5D">
              <w:rPr>
                <w:rFonts w:ascii="Bookman Old Style" w:hAnsi="Bookman Old Style"/>
                <w:sz w:val="24"/>
                <w:szCs w:val="24"/>
              </w:rPr>
              <w:t>Membrane plasmique</w:t>
            </w:r>
          </w:p>
          <w:p w:rsidR="00B45A8B" w:rsidRPr="002F2D5D" w:rsidRDefault="00B45A8B" w:rsidP="0038439C">
            <w:pPr>
              <w:spacing w:after="0"/>
              <w:rPr>
                <w:rFonts w:ascii="Bookman Old Style" w:hAnsi="Bookman Old Style"/>
                <w:sz w:val="24"/>
                <w:szCs w:val="24"/>
              </w:rPr>
            </w:pPr>
            <w:r w:rsidRPr="002F2D5D">
              <w:rPr>
                <w:rFonts w:ascii="Bookman Old Style" w:hAnsi="Bookman Old Style"/>
                <w:sz w:val="24"/>
                <w:szCs w:val="24"/>
              </w:rPr>
              <w:t>cytoplasme</w:t>
            </w:r>
          </w:p>
          <w:p w:rsidR="00B45A8B" w:rsidRPr="002F2D5D" w:rsidRDefault="00B45A8B" w:rsidP="0038439C">
            <w:pPr>
              <w:spacing w:after="0"/>
              <w:rPr>
                <w:rFonts w:ascii="Bookman Old Style" w:hAnsi="Bookman Old Style"/>
                <w:sz w:val="24"/>
                <w:szCs w:val="24"/>
              </w:rPr>
            </w:pPr>
            <w:r w:rsidRPr="002F2D5D">
              <w:rPr>
                <w:rFonts w:ascii="Bookman Old Style" w:hAnsi="Bookman Old Style"/>
                <w:sz w:val="24"/>
                <w:szCs w:val="24"/>
              </w:rPr>
              <w:t>Périplasme (espace périplasmique)</w:t>
            </w:r>
          </w:p>
          <w:p w:rsidR="00B45A8B" w:rsidRPr="002F2D5D" w:rsidRDefault="00B45A8B" w:rsidP="0038439C">
            <w:pPr>
              <w:spacing w:after="0"/>
              <w:rPr>
                <w:rFonts w:ascii="Bookman Old Style" w:hAnsi="Bookman Old Style"/>
                <w:sz w:val="24"/>
                <w:szCs w:val="24"/>
              </w:rPr>
            </w:pPr>
            <w:r w:rsidRPr="002F2D5D">
              <w:rPr>
                <w:rFonts w:ascii="Bookman Old Style" w:hAnsi="Bookman Old Style"/>
                <w:sz w:val="24"/>
                <w:szCs w:val="24"/>
              </w:rPr>
              <w:t>Ribosomes</w:t>
            </w:r>
          </w:p>
          <w:p w:rsidR="00B45A8B" w:rsidRPr="002F2D5D" w:rsidRDefault="00B45A8B" w:rsidP="0038439C">
            <w:pPr>
              <w:spacing w:after="0"/>
              <w:rPr>
                <w:rFonts w:ascii="Bookman Old Style" w:hAnsi="Bookman Old Style"/>
                <w:sz w:val="24"/>
                <w:szCs w:val="24"/>
              </w:rPr>
            </w:pPr>
            <w:r w:rsidRPr="002F2D5D">
              <w:rPr>
                <w:rFonts w:ascii="Bookman Old Style" w:hAnsi="Bookman Old Style"/>
                <w:sz w:val="24"/>
                <w:szCs w:val="24"/>
              </w:rPr>
              <w:t>Polysomes</w:t>
            </w:r>
          </w:p>
          <w:p w:rsidR="00B45A8B" w:rsidRPr="002F2D5D" w:rsidRDefault="00B45A8B" w:rsidP="0038439C">
            <w:pPr>
              <w:spacing w:after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Appareil nucléaire (</w:t>
            </w:r>
            <w:r w:rsidRPr="002F2D5D">
              <w:rPr>
                <w:rFonts w:ascii="Bookman Old Style" w:hAnsi="Bookman Old Style"/>
                <w:sz w:val="24"/>
                <w:szCs w:val="24"/>
              </w:rPr>
              <w:t>chromosome</w:t>
            </w:r>
            <w:r>
              <w:rPr>
                <w:rFonts w:ascii="Bookman Old Style" w:hAnsi="Bookman Old Style"/>
                <w:sz w:val="24"/>
                <w:szCs w:val="24"/>
              </w:rPr>
              <w:t>)</w:t>
            </w:r>
          </w:p>
        </w:tc>
        <w:tc>
          <w:tcPr>
            <w:tcW w:w="4775" w:type="dxa"/>
            <w:tcBorders>
              <w:left w:val="single" w:sz="4" w:space="0" w:color="auto"/>
            </w:tcBorders>
          </w:tcPr>
          <w:p w:rsidR="00B45A8B" w:rsidRPr="002F2D5D" w:rsidRDefault="00B45A8B" w:rsidP="0038439C">
            <w:pPr>
              <w:spacing w:after="0"/>
              <w:rPr>
                <w:rFonts w:ascii="Bookman Old Style" w:hAnsi="Bookman Old Style"/>
                <w:sz w:val="24"/>
                <w:szCs w:val="24"/>
              </w:rPr>
            </w:pPr>
          </w:p>
          <w:p w:rsidR="00B45A8B" w:rsidRPr="002F2D5D" w:rsidRDefault="00B45A8B" w:rsidP="0038439C">
            <w:pPr>
              <w:spacing w:after="0"/>
              <w:rPr>
                <w:rFonts w:ascii="Bookman Old Style" w:hAnsi="Bookman Old Style"/>
                <w:sz w:val="24"/>
                <w:szCs w:val="24"/>
              </w:rPr>
            </w:pPr>
            <w:r w:rsidRPr="002F2D5D">
              <w:rPr>
                <w:rFonts w:ascii="Bookman Old Style" w:hAnsi="Bookman Old Style"/>
                <w:sz w:val="24"/>
                <w:szCs w:val="24"/>
              </w:rPr>
              <w:t>Capsule</w:t>
            </w:r>
          </w:p>
          <w:p w:rsidR="00B45A8B" w:rsidRPr="002F2D5D" w:rsidRDefault="00B45A8B" w:rsidP="0038439C">
            <w:pPr>
              <w:spacing w:after="0"/>
              <w:rPr>
                <w:rFonts w:ascii="Bookman Old Style" w:hAnsi="Bookman Old Style"/>
                <w:sz w:val="24"/>
                <w:szCs w:val="24"/>
              </w:rPr>
            </w:pPr>
            <w:r w:rsidRPr="002F2D5D">
              <w:rPr>
                <w:rFonts w:ascii="Bookman Old Style" w:hAnsi="Bookman Old Style"/>
                <w:sz w:val="24"/>
                <w:szCs w:val="24"/>
              </w:rPr>
              <w:t>Plasmide</w:t>
            </w:r>
          </w:p>
          <w:p w:rsidR="00B45A8B" w:rsidRPr="002F2D5D" w:rsidRDefault="00B45A8B" w:rsidP="0038439C">
            <w:pPr>
              <w:spacing w:after="0"/>
              <w:rPr>
                <w:rFonts w:ascii="Bookman Old Style" w:hAnsi="Bookman Old Style"/>
                <w:sz w:val="24"/>
                <w:szCs w:val="24"/>
              </w:rPr>
            </w:pPr>
            <w:r w:rsidRPr="002F2D5D">
              <w:rPr>
                <w:rFonts w:ascii="Bookman Old Style" w:hAnsi="Bookman Old Style"/>
                <w:sz w:val="24"/>
                <w:szCs w:val="24"/>
              </w:rPr>
              <w:t>Vacuole à gaz (bactéries aquatiques)</w:t>
            </w:r>
          </w:p>
          <w:p w:rsidR="00B45A8B" w:rsidRPr="002F2D5D" w:rsidRDefault="00B45A8B" w:rsidP="0038439C">
            <w:pPr>
              <w:spacing w:after="0"/>
              <w:rPr>
                <w:rFonts w:ascii="Bookman Old Style" w:hAnsi="Bookman Old Style"/>
                <w:sz w:val="24"/>
                <w:szCs w:val="24"/>
              </w:rPr>
            </w:pPr>
            <w:r w:rsidRPr="002F2D5D">
              <w:rPr>
                <w:rFonts w:ascii="Bookman Old Style" w:hAnsi="Bookman Old Style"/>
                <w:sz w:val="24"/>
                <w:szCs w:val="24"/>
              </w:rPr>
              <w:t>Inclusions de réserves</w:t>
            </w:r>
          </w:p>
          <w:p w:rsidR="00B45A8B" w:rsidRPr="002F2D5D" w:rsidRDefault="00B45A8B" w:rsidP="0038439C">
            <w:pPr>
              <w:spacing w:after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Pili (</w:t>
            </w:r>
            <w:r w:rsidRPr="002F2D5D">
              <w:rPr>
                <w:rFonts w:ascii="Bookman Old Style" w:hAnsi="Bookman Old Style"/>
                <w:sz w:val="24"/>
                <w:szCs w:val="24"/>
              </w:rPr>
              <w:t>fimbriae</w:t>
            </w:r>
            <w:r>
              <w:rPr>
                <w:rFonts w:ascii="Bookman Old Style" w:hAnsi="Bookman Old Style"/>
                <w:sz w:val="24"/>
                <w:szCs w:val="24"/>
              </w:rPr>
              <w:t>)</w:t>
            </w:r>
          </w:p>
          <w:p w:rsidR="00B45A8B" w:rsidRPr="002F2D5D" w:rsidRDefault="00B45A8B" w:rsidP="0038439C">
            <w:pPr>
              <w:spacing w:after="0"/>
              <w:rPr>
                <w:rFonts w:ascii="Bookman Old Style" w:hAnsi="Bookman Old Style"/>
                <w:sz w:val="24"/>
                <w:szCs w:val="24"/>
              </w:rPr>
            </w:pPr>
            <w:r w:rsidRPr="002F2D5D">
              <w:rPr>
                <w:rFonts w:ascii="Bookman Old Style" w:hAnsi="Bookman Old Style"/>
                <w:sz w:val="24"/>
                <w:szCs w:val="24"/>
              </w:rPr>
              <w:t>Flagelles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(cils)</w:t>
            </w:r>
          </w:p>
          <w:p w:rsidR="00B45A8B" w:rsidRPr="002F2D5D" w:rsidRDefault="00B45A8B" w:rsidP="0038439C">
            <w:pPr>
              <w:spacing w:after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Chromatophore (B</w:t>
            </w:r>
            <w:r w:rsidRPr="005D701D">
              <w:rPr>
                <w:rFonts w:ascii="Bookman Old Style" w:hAnsi="Bookman Old Style"/>
                <w:sz w:val="24"/>
                <w:szCs w:val="24"/>
                <w:vertAlign w:val="superscript"/>
              </w:rPr>
              <w:t>+</w:t>
            </w:r>
            <w:r w:rsidRPr="002F2D5D"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r w:rsidRPr="00B66887">
              <w:rPr>
                <w:rFonts w:ascii="Bookman Old Style" w:hAnsi="Bookman Old Style"/>
                <w:sz w:val="23"/>
                <w:szCs w:val="23"/>
              </w:rPr>
              <w:t>photosynthétiques</w:t>
            </w:r>
            <w:r w:rsidRPr="002F2D5D">
              <w:rPr>
                <w:rFonts w:ascii="Bookman Old Style" w:hAnsi="Bookman Old Style"/>
                <w:sz w:val="24"/>
                <w:szCs w:val="24"/>
              </w:rPr>
              <w:t>)</w:t>
            </w:r>
          </w:p>
          <w:p w:rsidR="00B45A8B" w:rsidRPr="002F2D5D" w:rsidRDefault="00B45A8B" w:rsidP="0038439C">
            <w:pPr>
              <w:spacing w:after="0"/>
              <w:rPr>
                <w:rFonts w:ascii="Bookman Old Style" w:hAnsi="Bookman Old Style"/>
                <w:sz w:val="24"/>
                <w:szCs w:val="24"/>
              </w:rPr>
            </w:pPr>
            <w:r w:rsidRPr="002F2D5D">
              <w:rPr>
                <w:rFonts w:ascii="Bookman Old Style" w:hAnsi="Bookman Old Style"/>
                <w:sz w:val="24"/>
                <w:szCs w:val="24"/>
              </w:rPr>
              <w:t>Endospore (bactéries sporulant) Mésosome (rôle incertain)</w:t>
            </w:r>
          </w:p>
        </w:tc>
      </w:tr>
    </w:tbl>
    <w:p w:rsidR="00AF5FE2" w:rsidRDefault="00AF5FE2" w:rsidP="00B45A8B">
      <w:pPr>
        <w:jc w:val="center"/>
        <w:rPr>
          <w:b/>
          <w:bCs/>
        </w:rPr>
      </w:pPr>
    </w:p>
    <w:p w:rsidR="00AF5FE2" w:rsidRDefault="00AF5FE2" w:rsidP="00B45A8B">
      <w:pPr>
        <w:jc w:val="center"/>
        <w:rPr>
          <w:b/>
          <w:bCs/>
        </w:rPr>
      </w:pPr>
    </w:p>
    <w:p w:rsidR="00AF5FE2" w:rsidRDefault="00AF5FE2" w:rsidP="00B45A8B">
      <w:pPr>
        <w:jc w:val="center"/>
        <w:rPr>
          <w:b/>
          <w:bCs/>
          <w:noProof/>
          <w:lang w:eastAsia="fr-FR"/>
        </w:rPr>
      </w:pPr>
    </w:p>
    <w:p w:rsidR="00AF5FE2" w:rsidRDefault="00AF5FE2" w:rsidP="00B45A8B">
      <w:pPr>
        <w:jc w:val="center"/>
        <w:rPr>
          <w:b/>
          <w:bCs/>
          <w:sz w:val="23"/>
          <w:szCs w:val="23"/>
        </w:rPr>
      </w:pPr>
    </w:p>
    <w:p w:rsidR="00AF5FE2" w:rsidRDefault="00AF5FE2" w:rsidP="00B45A8B">
      <w:pPr>
        <w:jc w:val="center"/>
        <w:rPr>
          <w:b/>
          <w:bCs/>
          <w:sz w:val="23"/>
          <w:szCs w:val="23"/>
        </w:rPr>
      </w:pPr>
    </w:p>
    <w:p w:rsidR="00AF5FE2" w:rsidRDefault="00AF5FE2" w:rsidP="00B45A8B">
      <w:pPr>
        <w:jc w:val="center"/>
        <w:rPr>
          <w:b/>
          <w:bCs/>
          <w:sz w:val="23"/>
          <w:szCs w:val="23"/>
        </w:rPr>
      </w:pPr>
    </w:p>
    <w:p w:rsidR="00AF5FE2" w:rsidRDefault="00AF5FE2" w:rsidP="00B45A8B">
      <w:pPr>
        <w:jc w:val="center"/>
        <w:rPr>
          <w:b/>
          <w:bCs/>
          <w:sz w:val="23"/>
          <w:szCs w:val="23"/>
        </w:rPr>
      </w:pPr>
    </w:p>
    <w:p w:rsidR="00AF5FE2" w:rsidRDefault="00AF5FE2" w:rsidP="00B45A8B">
      <w:pPr>
        <w:jc w:val="center"/>
        <w:rPr>
          <w:b/>
          <w:bCs/>
          <w:sz w:val="23"/>
          <w:szCs w:val="23"/>
        </w:rPr>
      </w:pPr>
    </w:p>
    <w:p w:rsidR="00AF5FE2" w:rsidRDefault="00AF5FE2" w:rsidP="00B45A8B">
      <w:pPr>
        <w:jc w:val="center"/>
        <w:rPr>
          <w:b/>
          <w:bCs/>
          <w:noProof/>
          <w:lang w:eastAsia="fr-FR"/>
        </w:rPr>
      </w:pPr>
      <w:r>
        <w:rPr>
          <w:b/>
          <w:bCs/>
          <w:sz w:val="23"/>
          <w:szCs w:val="23"/>
        </w:rPr>
        <w:lastRenderedPageBreak/>
        <w:t>Principaux constituants chimiques de la paroi</w:t>
      </w:r>
    </w:p>
    <w:p w:rsidR="00B45A8B" w:rsidRDefault="00B45A8B" w:rsidP="00B45A8B">
      <w:pPr>
        <w:jc w:val="center"/>
        <w:rPr>
          <w:b/>
          <w:bCs/>
        </w:rPr>
      </w:pPr>
      <w:r>
        <w:rPr>
          <w:b/>
          <w:bCs/>
          <w:noProof/>
          <w:lang w:eastAsia="fr-FR"/>
        </w:rPr>
        <w:drawing>
          <wp:inline distT="0" distB="0" distL="0" distR="0">
            <wp:extent cx="5000625" cy="4533900"/>
            <wp:effectExtent l="19050" t="19050" r="28575" b="1905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45339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A8B" w:rsidRDefault="00B45A8B" w:rsidP="00AF5FE2">
      <w:pPr>
        <w:jc w:val="center"/>
      </w:pPr>
      <w:r>
        <w:rPr>
          <w:b/>
          <w:bCs/>
        </w:rPr>
        <w:t>La composition des sous unités du peptidoglycane</w:t>
      </w:r>
    </w:p>
    <w:p w:rsidR="00A3128F" w:rsidRDefault="00B45A8B" w:rsidP="00AF5FE2">
      <w:pPr>
        <w:tabs>
          <w:tab w:val="left" w:pos="3135"/>
        </w:tabs>
        <w:jc w:val="center"/>
      </w:pPr>
      <w:r>
        <w:rPr>
          <w:noProof/>
          <w:lang w:eastAsia="fr-FR"/>
        </w:rPr>
        <w:drawing>
          <wp:inline distT="0" distB="0" distL="0" distR="0">
            <wp:extent cx="4772025" cy="3086100"/>
            <wp:effectExtent l="19050" t="19050" r="28575" b="19050"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0861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FE2" w:rsidRDefault="00AF5FE2" w:rsidP="00AF5FE2">
      <w:pPr>
        <w:tabs>
          <w:tab w:val="left" w:pos="3135"/>
        </w:tabs>
        <w:jc w:val="center"/>
        <w:rPr>
          <w:b/>
          <w:bCs/>
        </w:rPr>
      </w:pPr>
      <w:r>
        <w:rPr>
          <w:b/>
          <w:bCs/>
        </w:rPr>
        <w:t>Dessin schématique du peptidoglycane</w:t>
      </w:r>
    </w:p>
    <w:p w:rsidR="00AF5FE2" w:rsidRPr="00AF5FE2" w:rsidRDefault="00AF5FE2" w:rsidP="00AF5FE2">
      <w:pPr>
        <w:tabs>
          <w:tab w:val="left" w:pos="3135"/>
        </w:tabs>
        <w:jc w:val="center"/>
        <w:rPr>
          <w:b/>
          <w:bCs/>
        </w:rPr>
      </w:pPr>
      <w:r w:rsidRPr="00AF5FE2">
        <w:rPr>
          <w:b/>
          <w:bCs/>
        </w:rPr>
        <w:lastRenderedPageBreak/>
        <w:t>Structure moléculaire de la paroi des</w:t>
      </w:r>
      <w:r>
        <w:rPr>
          <w:b/>
          <w:bCs/>
        </w:rPr>
        <w:t xml:space="preserve"> bactéries</w:t>
      </w:r>
      <w:r w:rsidRPr="00AF5FE2">
        <w:rPr>
          <w:b/>
          <w:bCs/>
        </w:rPr>
        <w:t xml:space="preserve"> Gram né</w:t>
      </w:r>
      <w:r>
        <w:rPr>
          <w:b/>
          <w:bCs/>
        </w:rPr>
        <w:t>gatif et positif</w:t>
      </w:r>
    </w:p>
    <w:p w:rsidR="00AF5FE2" w:rsidRDefault="00AF5FE2" w:rsidP="00AF5FE2">
      <w:pPr>
        <w:tabs>
          <w:tab w:val="left" w:pos="3135"/>
        </w:tabs>
        <w:jc w:val="center"/>
      </w:pPr>
      <w:r>
        <w:rPr>
          <w:noProof/>
          <w:lang w:eastAsia="fr-FR"/>
        </w:rPr>
        <w:drawing>
          <wp:inline distT="0" distB="0" distL="0" distR="0">
            <wp:extent cx="5705475" cy="3619500"/>
            <wp:effectExtent l="19050" t="19050" r="28575" b="19050"/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6195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FE2" w:rsidRPr="00AF5FE2" w:rsidRDefault="002B3B14" w:rsidP="002B3B14">
      <w:pPr>
        <w:pStyle w:val="Default"/>
        <w:jc w:val="both"/>
        <w:rPr>
          <w:rFonts w:asciiTheme="majorBidi" w:hAnsiTheme="majorBidi" w:cstheme="majorBidi"/>
          <w:sz w:val="22"/>
          <w:szCs w:val="22"/>
        </w:rPr>
      </w:pPr>
      <w:r>
        <w:rPr>
          <w:rFonts w:asciiTheme="majorBidi" w:hAnsiTheme="majorBidi" w:cstheme="majorBidi"/>
          <w:sz w:val="22"/>
          <w:szCs w:val="22"/>
        </w:rPr>
        <w:t>Composition</w:t>
      </w:r>
      <w:r w:rsidR="00AF5FE2" w:rsidRPr="00AF5FE2">
        <w:rPr>
          <w:rFonts w:asciiTheme="majorBidi" w:hAnsiTheme="majorBidi" w:cstheme="majorBidi"/>
          <w:sz w:val="22"/>
          <w:szCs w:val="22"/>
        </w:rPr>
        <w:t xml:space="preserve"> complexe, elle est constituée </w:t>
      </w:r>
      <w:r w:rsidR="00AF5FE2" w:rsidRPr="00AF5FE2">
        <w:rPr>
          <w:rFonts w:asciiTheme="majorBidi" w:hAnsiTheme="majorBidi" w:cstheme="majorBidi"/>
          <w:b/>
          <w:bCs/>
          <w:sz w:val="22"/>
          <w:szCs w:val="22"/>
        </w:rPr>
        <w:t xml:space="preserve">du peptidoglycane et de la membrane externe. </w:t>
      </w:r>
      <w:r w:rsidR="00AF5FE2" w:rsidRPr="00AF5FE2">
        <w:rPr>
          <w:rFonts w:asciiTheme="majorBidi" w:hAnsiTheme="majorBidi" w:cstheme="majorBidi"/>
          <w:sz w:val="22"/>
          <w:szCs w:val="22"/>
        </w:rPr>
        <w:t xml:space="preserve">Il y a plusieurs couches : </w:t>
      </w:r>
    </w:p>
    <w:p w:rsidR="00AF5FE2" w:rsidRPr="00AF5FE2" w:rsidRDefault="00AF5FE2" w:rsidP="002B3B14">
      <w:pPr>
        <w:pStyle w:val="Default"/>
        <w:jc w:val="both"/>
        <w:rPr>
          <w:rFonts w:asciiTheme="majorBidi" w:hAnsiTheme="majorBidi" w:cstheme="majorBidi"/>
          <w:sz w:val="22"/>
          <w:szCs w:val="22"/>
        </w:rPr>
      </w:pPr>
      <w:r w:rsidRPr="00AF5FE2">
        <w:rPr>
          <w:rFonts w:asciiTheme="majorBidi" w:hAnsiTheme="majorBidi" w:cstheme="majorBidi"/>
          <w:sz w:val="22"/>
          <w:szCs w:val="22"/>
        </w:rPr>
        <w:t xml:space="preserve">Peptidoglycane en couche mince. </w:t>
      </w:r>
    </w:p>
    <w:p w:rsidR="00AF5FE2" w:rsidRPr="00AF5FE2" w:rsidRDefault="00AF5FE2" w:rsidP="002B3B14">
      <w:pPr>
        <w:pStyle w:val="Default"/>
        <w:jc w:val="both"/>
        <w:rPr>
          <w:rFonts w:asciiTheme="majorBidi" w:hAnsiTheme="majorBidi" w:cstheme="majorBidi"/>
          <w:sz w:val="22"/>
          <w:szCs w:val="22"/>
        </w:rPr>
      </w:pPr>
      <w:r w:rsidRPr="00AF5FE2">
        <w:rPr>
          <w:rFonts w:asciiTheme="majorBidi" w:hAnsiTheme="majorBidi" w:cstheme="majorBidi"/>
          <w:sz w:val="22"/>
          <w:szCs w:val="22"/>
        </w:rPr>
        <w:t xml:space="preserve">Phospholipides </w:t>
      </w:r>
    </w:p>
    <w:p w:rsidR="00AF5FE2" w:rsidRPr="00AF5FE2" w:rsidRDefault="00AF5FE2" w:rsidP="002B3B14">
      <w:pPr>
        <w:pStyle w:val="Default"/>
        <w:jc w:val="both"/>
        <w:rPr>
          <w:rFonts w:asciiTheme="majorBidi" w:hAnsiTheme="majorBidi" w:cstheme="majorBidi"/>
          <w:sz w:val="22"/>
          <w:szCs w:val="22"/>
        </w:rPr>
      </w:pPr>
      <w:r w:rsidRPr="00AF5FE2">
        <w:rPr>
          <w:rFonts w:asciiTheme="majorBidi" w:hAnsiTheme="majorBidi" w:cstheme="majorBidi"/>
          <w:b/>
          <w:bCs/>
          <w:sz w:val="22"/>
          <w:szCs w:val="22"/>
        </w:rPr>
        <w:t xml:space="preserve">Lipopolysaccharides (LPS) : </w:t>
      </w:r>
      <w:r w:rsidRPr="00AF5FE2">
        <w:rPr>
          <w:rFonts w:asciiTheme="majorBidi" w:hAnsiTheme="majorBidi" w:cstheme="majorBidi"/>
          <w:sz w:val="22"/>
          <w:szCs w:val="22"/>
        </w:rPr>
        <w:t xml:space="preserve">formé de 3 parties : </w:t>
      </w:r>
    </w:p>
    <w:p w:rsidR="00AF5FE2" w:rsidRPr="00AF5FE2" w:rsidRDefault="00AF5FE2" w:rsidP="002B3B14">
      <w:pPr>
        <w:pStyle w:val="Default"/>
        <w:jc w:val="both"/>
        <w:rPr>
          <w:rFonts w:asciiTheme="majorBidi" w:hAnsiTheme="majorBidi" w:cstheme="majorBidi"/>
          <w:sz w:val="22"/>
          <w:szCs w:val="22"/>
        </w:rPr>
      </w:pPr>
      <w:r w:rsidRPr="00AF5FE2">
        <w:rPr>
          <w:rFonts w:asciiTheme="majorBidi" w:hAnsiTheme="majorBidi" w:cstheme="majorBidi"/>
          <w:b/>
          <w:bCs/>
          <w:sz w:val="22"/>
          <w:szCs w:val="22"/>
        </w:rPr>
        <w:t xml:space="preserve">- Le lipide (A) </w:t>
      </w:r>
      <w:r w:rsidRPr="00AF5FE2">
        <w:rPr>
          <w:rFonts w:asciiTheme="majorBidi" w:hAnsiTheme="majorBidi" w:cstheme="majorBidi"/>
          <w:sz w:val="22"/>
          <w:szCs w:val="22"/>
        </w:rPr>
        <w:t>couplé à la glucosamine et à des résidus phosphore qui est amphiphile, possédant une partie hydrophobe et une</w:t>
      </w:r>
      <w:r w:rsidR="002B3B14">
        <w:rPr>
          <w:rFonts w:asciiTheme="majorBidi" w:hAnsiTheme="majorBidi" w:cstheme="majorBidi"/>
          <w:sz w:val="22"/>
          <w:szCs w:val="22"/>
        </w:rPr>
        <w:t xml:space="preserve"> partie</w:t>
      </w:r>
      <w:r w:rsidRPr="00AF5FE2">
        <w:rPr>
          <w:rFonts w:asciiTheme="majorBidi" w:hAnsiTheme="majorBidi" w:cstheme="majorBidi"/>
          <w:sz w:val="22"/>
          <w:szCs w:val="22"/>
        </w:rPr>
        <w:t xml:space="preserve"> hydrophile. Il y a analogie entre les appellations « </w:t>
      </w:r>
      <w:r w:rsidRPr="00AF5FE2">
        <w:rPr>
          <w:rFonts w:asciiTheme="majorBidi" w:hAnsiTheme="majorBidi" w:cstheme="majorBidi"/>
          <w:b/>
          <w:bCs/>
          <w:sz w:val="22"/>
          <w:szCs w:val="22"/>
        </w:rPr>
        <w:t xml:space="preserve">endotoxine </w:t>
      </w:r>
      <w:r w:rsidRPr="00AF5FE2">
        <w:rPr>
          <w:rFonts w:asciiTheme="majorBidi" w:hAnsiTheme="majorBidi" w:cstheme="majorBidi"/>
          <w:sz w:val="22"/>
          <w:szCs w:val="22"/>
        </w:rPr>
        <w:t>», «</w:t>
      </w:r>
      <w:r w:rsidRPr="00AF5FE2">
        <w:rPr>
          <w:rFonts w:asciiTheme="majorBidi" w:hAnsiTheme="majorBidi" w:cstheme="majorBidi"/>
          <w:b/>
          <w:bCs/>
          <w:sz w:val="22"/>
          <w:szCs w:val="22"/>
        </w:rPr>
        <w:t xml:space="preserve">lipide A </w:t>
      </w:r>
      <w:r w:rsidRPr="00AF5FE2">
        <w:rPr>
          <w:rFonts w:asciiTheme="majorBidi" w:hAnsiTheme="majorBidi" w:cstheme="majorBidi"/>
          <w:sz w:val="22"/>
          <w:szCs w:val="22"/>
        </w:rPr>
        <w:t xml:space="preserve">» et « </w:t>
      </w:r>
      <w:r w:rsidRPr="00AF5FE2">
        <w:rPr>
          <w:rFonts w:asciiTheme="majorBidi" w:hAnsiTheme="majorBidi" w:cstheme="majorBidi"/>
          <w:b/>
          <w:bCs/>
          <w:sz w:val="22"/>
          <w:szCs w:val="22"/>
        </w:rPr>
        <w:t xml:space="preserve">membrane externe </w:t>
      </w:r>
      <w:r w:rsidRPr="00AF5FE2">
        <w:rPr>
          <w:rFonts w:asciiTheme="majorBidi" w:hAnsiTheme="majorBidi" w:cstheme="majorBidi"/>
          <w:sz w:val="22"/>
          <w:szCs w:val="22"/>
        </w:rPr>
        <w:t xml:space="preserve">» </w:t>
      </w:r>
    </w:p>
    <w:p w:rsidR="00AF5FE2" w:rsidRPr="00AF5FE2" w:rsidRDefault="00AF5FE2" w:rsidP="002B3B14">
      <w:pPr>
        <w:pStyle w:val="Default"/>
        <w:jc w:val="both"/>
        <w:rPr>
          <w:rFonts w:asciiTheme="majorBidi" w:hAnsiTheme="majorBidi" w:cstheme="majorBidi"/>
          <w:sz w:val="22"/>
          <w:szCs w:val="22"/>
        </w:rPr>
      </w:pPr>
      <w:r w:rsidRPr="00AF5FE2">
        <w:rPr>
          <w:rFonts w:asciiTheme="majorBidi" w:hAnsiTheme="majorBidi" w:cstheme="majorBidi"/>
          <w:b/>
          <w:bCs/>
          <w:sz w:val="22"/>
          <w:szCs w:val="22"/>
        </w:rPr>
        <w:t xml:space="preserve">- Le polysaccharide central, </w:t>
      </w:r>
      <w:r w:rsidRPr="00AF5FE2">
        <w:rPr>
          <w:rFonts w:asciiTheme="majorBidi" w:hAnsiTheme="majorBidi" w:cstheme="majorBidi"/>
          <w:sz w:val="22"/>
          <w:szCs w:val="22"/>
        </w:rPr>
        <w:t xml:space="preserve">constitué de 10 sucres. </w:t>
      </w:r>
    </w:p>
    <w:p w:rsidR="002B3B14" w:rsidRDefault="00AF5FE2" w:rsidP="002B3B14">
      <w:pPr>
        <w:tabs>
          <w:tab w:val="left" w:pos="3135"/>
        </w:tabs>
        <w:jc w:val="both"/>
        <w:rPr>
          <w:rFonts w:asciiTheme="majorBidi" w:hAnsiTheme="majorBidi" w:cstheme="majorBidi"/>
        </w:rPr>
      </w:pPr>
      <w:r w:rsidRPr="00AF5FE2">
        <w:rPr>
          <w:rFonts w:asciiTheme="majorBidi" w:hAnsiTheme="majorBidi" w:cstheme="majorBidi"/>
          <w:b/>
          <w:bCs/>
        </w:rPr>
        <w:t xml:space="preserve">- La chaine latérale O, ou antigène O, </w:t>
      </w:r>
      <w:r w:rsidRPr="00AF5FE2">
        <w:rPr>
          <w:rFonts w:asciiTheme="majorBidi" w:hAnsiTheme="majorBidi" w:cstheme="majorBidi"/>
        </w:rPr>
        <w:t>chaine courte, sa composition varie selon la souche bactérienne.</w:t>
      </w:r>
      <w:r w:rsidR="002B3B14">
        <w:rPr>
          <w:rFonts w:asciiTheme="majorBidi" w:hAnsiTheme="majorBidi" w:cstheme="majorBidi"/>
        </w:rPr>
        <w:t xml:space="preserve"> </w:t>
      </w:r>
      <w:r w:rsidR="002B3B14" w:rsidRPr="002B3B14">
        <w:rPr>
          <w:rFonts w:asciiTheme="majorBidi" w:hAnsiTheme="majorBidi" w:cstheme="majorBidi"/>
        </w:rPr>
        <w:t>Le LPS joue plusieurs fonctions, telle que l’</w:t>
      </w:r>
      <w:r w:rsidR="002B3B14" w:rsidRPr="002B3B14">
        <w:rPr>
          <w:rFonts w:asciiTheme="majorBidi" w:hAnsiTheme="majorBidi" w:cstheme="majorBidi"/>
          <w:b/>
          <w:bCs/>
        </w:rPr>
        <w:t xml:space="preserve">attachement </w:t>
      </w:r>
      <w:r w:rsidR="002B3B14" w:rsidRPr="002B3B14">
        <w:rPr>
          <w:rFonts w:asciiTheme="majorBidi" w:hAnsiTheme="majorBidi" w:cstheme="majorBidi"/>
        </w:rPr>
        <w:t xml:space="preserve">sur les surfaces, </w:t>
      </w:r>
      <w:r w:rsidR="002B3B14" w:rsidRPr="002B3B14">
        <w:rPr>
          <w:rFonts w:asciiTheme="majorBidi" w:hAnsiTheme="majorBidi" w:cstheme="majorBidi"/>
          <w:b/>
          <w:bCs/>
        </w:rPr>
        <w:t>bloque l’entrée de substances toxiques</w:t>
      </w:r>
      <w:r w:rsidR="002B3B14" w:rsidRPr="002B3B14">
        <w:rPr>
          <w:rFonts w:asciiTheme="majorBidi" w:hAnsiTheme="majorBidi" w:cstheme="majorBidi"/>
        </w:rPr>
        <w:t xml:space="preserve">. Il agit comme </w:t>
      </w:r>
      <w:r w:rsidR="002B3B14" w:rsidRPr="002B3B14">
        <w:rPr>
          <w:rFonts w:asciiTheme="majorBidi" w:hAnsiTheme="majorBidi" w:cstheme="majorBidi"/>
          <w:b/>
          <w:bCs/>
        </w:rPr>
        <w:t xml:space="preserve">une endotoxine </w:t>
      </w:r>
      <w:r w:rsidR="002B3B14" w:rsidRPr="002B3B14">
        <w:rPr>
          <w:rFonts w:asciiTheme="majorBidi" w:hAnsiTheme="majorBidi" w:cstheme="majorBidi"/>
        </w:rPr>
        <w:t>(lipide A) qui cause les symptômes des maladies</w:t>
      </w:r>
      <w:r w:rsidR="002B3B14">
        <w:rPr>
          <w:rFonts w:asciiTheme="majorBidi" w:hAnsiTheme="majorBidi" w:cstheme="majorBidi"/>
        </w:rPr>
        <w:t xml:space="preserve"> induites par des Gram négatif</w:t>
      </w:r>
      <w:r w:rsidR="002B3B14" w:rsidRPr="002B3B14">
        <w:rPr>
          <w:rFonts w:asciiTheme="majorBidi" w:hAnsiTheme="majorBidi" w:cstheme="majorBidi"/>
        </w:rPr>
        <w:t>.</w:t>
      </w:r>
    </w:p>
    <w:p w:rsidR="002B3B14" w:rsidRPr="00AF5FE2" w:rsidRDefault="002B3B14" w:rsidP="002B3B14">
      <w:pPr>
        <w:tabs>
          <w:tab w:val="left" w:pos="3135"/>
        </w:tabs>
        <w:jc w:val="both"/>
        <w:rPr>
          <w:rFonts w:asciiTheme="majorBidi" w:hAnsiTheme="majorBidi" w:cstheme="majorBidi"/>
        </w:rPr>
      </w:pPr>
    </w:p>
    <w:p w:rsidR="00AF5FE2" w:rsidRDefault="00AF5FE2" w:rsidP="00AF5FE2">
      <w:pPr>
        <w:tabs>
          <w:tab w:val="left" w:pos="3135"/>
        </w:tabs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5705475" cy="3171825"/>
            <wp:effectExtent l="19050" t="19050" r="28575" b="28575"/>
            <wp:docPr id="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1718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B14" w:rsidRPr="002B3B14" w:rsidRDefault="002B3B14" w:rsidP="002B3B1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color w:val="000000"/>
        </w:rPr>
      </w:pPr>
      <w:r w:rsidRPr="002B3B14">
        <w:rPr>
          <w:rFonts w:asciiTheme="majorBidi" w:hAnsiTheme="majorBidi" w:cstheme="majorBidi"/>
          <w:color w:val="000000"/>
        </w:rPr>
        <w:t xml:space="preserve">Le peptidoglycane est </w:t>
      </w:r>
      <w:r w:rsidRPr="002B3B14">
        <w:rPr>
          <w:rFonts w:asciiTheme="majorBidi" w:hAnsiTheme="majorBidi" w:cstheme="majorBidi"/>
          <w:b/>
          <w:bCs/>
          <w:color w:val="000000"/>
        </w:rPr>
        <w:t xml:space="preserve">le constituant majeur </w:t>
      </w:r>
      <w:r w:rsidRPr="002B3B14">
        <w:rPr>
          <w:rFonts w:asciiTheme="majorBidi" w:hAnsiTheme="majorBidi" w:cstheme="majorBidi"/>
          <w:color w:val="000000"/>
        </w:rPr>
        <w:t xml:space="preserve">(90%) </w:t>
      </w:r>
    </w:p>
    <w:p w:rsidR="002B3B14" w:rsidRPr="002B3B14" w:rsidRDefault="002B3B14" w:rsidP="002B3B1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color w:val="000000"/>
        </w:rPr>
      </w:pPr>
      <w:r w:rsidRPr="002B3B14">
        <w:rPr>
          <w:rFonts w:asciiTheme="majorBidi" w:hAnsiTheme="majorBidi" w:cstheme="majorBidi"/>
          <w:color w:val="000000"/>
        </w:rPr>
        <w:t xml:space="preserve">Le reste correspond à un feutrage d’acides teïchoiques (10%) </w:t>
      </w:r>
    </w:p>
    <w:p w:rsidR="002B3B14" w:rsidRPr="002B3B14" w:rsidRDefault="002B3B14" w:rsidP="002B3B1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color w:val="000000"/>
        </w:rPr>
      </w:pPr>
      <w:r w:rsidRPr="002B3B14">
        <w:rPr>
          <w:rFonts w:asciiTheme="majorBidi" w:hAnsiTheme="majorBidi" w:cstheme="majorBidi"/>
          <w:color w:val="000000"/>
        </w:rPr>
        <w:t xml:space="preserve">Le peptidoglycane est </w:t>
      </w:r>
      <w:r w:rsidRPr="002B3B14">
        <w:rPr>
          <w:rFonts w:asciiTheme="majorBidi" w:hAnsiTheme="majorBidi" w:cstheme="majorBidi"/>
          <w:b/>
          <w:bCs/>
          <w:color w:val="000000"/>
        </w:rPr>
        <w:t>très solide</w:t>
      </w:r>
      <w:r w:rsidRPr="002B3B14">
        <w:rPr>
          <w:rFonts w:asciiTheme="majorBidi" w:hAnsiTheme="majorBidi" w:cstheme="majorBidi"/>
          <w:color w:val="000000"/>
        </w:rPr>
        <w:t xml:space="preserve">, les liaisons croisées entre chaînes glucidiques sont nombreuses. </w:t>
      </w:r>
    </w:p>
    <w:p w:rsidR="002B3B14" w:rsidRDefault="002B3B14" w:rsidP="002B3B14">
      <w:pPr>
        <w:tabs>
          <w:tab w:val="left" w:pos="3135"/>
        </w:tabs>
        <w:jc w:val="both"/>
        <w:rPr>
          <w:rFonts w:asciiTheme="majorBidi" w:hAnsiTheme="majorBidi" w:cstheme="majorBidi"/>
          <w:color w:val="000000"/>
        </w:rPr>
      </w:pPr>
      <w:r w:rsidRPr="002B3B14">
        <w:rPr>
          <w:rFonts w:asciiTheme="majorBidi" w:hAnsiTheme="majorBidi" w:cstheme="majorBidi"/>
          <w:color w:val="000000"/>
        </w:rPr>
        <w:t>Présence de flagelles.</w:t>
      </w:r>
    </w:p>
    <w:p w:rsidR="002B3B14" w:rsidRDefault="002B3B14" w:rsidP="002B3B14">
      <w:pPr>
        <w:tabs>
          <w:tab w:val="left" w:pos="3135"/>
        </w:tabs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lang w:eastAsia="fr-FR"/>
        </w:rPr>
        <w:drawing>
          <wp:inline distT="0" distB="0" distL="0" distR="0">
            <wp:extent cx="5760720" cy="1028700"/>
            <wp:effectExtent l="19050" t="19050" r="11430" b="19050"/>
            <wp:docPr id="7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287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B14" w:rsidRPr="00687C6B" w:rsidRDefault="002B3B14" w:rsidP="002B3B14">
      <w:pPr>
        <w:tabs>
          <w:tab w:val="left" w:pos="3135"/>
        </w:tabs>
        <w:jc w:val="center"/>
        <w:rPr>
          <w:rFonts w:asciiTheme="majorBidi" w:hAnsiTheme="majorBidi" w:cstheme="majorBidi"/>
          <w:b/>
          <w:bCs/>
        </w:rPr>
      </w:pPr>
      <w:r w:rsidRPr="00687C6B">
        <w:rPr>
          <w:rFonts w:asciiTheme="majorBidi" w:hAnsiTheme="majorBidi" w:cstheme="majorBidi"/>
          <w:b/>
          <w:bCs/>
        </w:rPr>
        <w:t>Structure d’un acide teïchoique : Phosphate + glycérol + R (Alanine, Glucose…)</w:t>
      </w:r>
    </w:p>
    <w:p w:rsidR="00687C6B" w:rsidRDefault="00687C6B" w:rsidP="002B3B14">
      <w:pPr>
        <w:tabs>
          <w:tab w:val="left" w:pos="3135"/>
        </w:tabs>
        <w:jc w:val="center"/>
        <w:rPr>
          <w:rFonts w:asciiTheme="majorBidi" w:hAnsiTheme="majorBidi" w:cstheme="majorBidi"/>
        </w:rPr>
      </w:pPr>
      <w:r w:rsidRPr="00687C6B">
        <w:rPr>
          <w:b/>
          <w:bCs/>
          <w:noProof/>
          <w:lang w:eastAsia="fr-FR"/>
        </w:rPr>
        <w:drawing>
          <wp:inline distT="0" distB="0" distL="0" distR="0">
            <wp:extent cx="4143375" cy="2819400"/>
            <wp:effectExtent l="19050" t="0" r="9525" b="0"/>
            <wp:docPr id="43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C6B" w:rsidRDefault="00687C6B" w:rsidP="002B3B14">
      <w:pPr>
        <w:tabs>
          <w:tab w:val="left" w:pos="3135"/>
        </w:tabs>
        <w:jc w:val="center"/>
        <w:rPr>
          <w:rFonts w:asciiTheme="majorBidi" w:hAnsiTheme="majorBidi" w:cstheme="majorBidi"/>
          <w:b/>
          <w:bCs/>
          <w:color w:val="000000"/>
        </w:rPr>
      </w:pPr>
      <w:r w:rsidRPr="00687C6B">
        <w:rPr>
          <w:rFonts w:asciiTheme="majorBidi" w:hAnsiTheme="majorBidi" w:cstheme="majorBidi"/>
          <w:b/>
          <w:bCs/>
          <w:color w:val="000000"/>
        </w:rPr>
        <w:t>Structure chimique de la pseudomuréine des archéobactéries</w:t>
      </w:r>
    </w:p>
    <w:p w:rsidR="00276D84" w:rsidRDefault="00276D84" w:rsidP="002B3B14">
      <w:pPr>
        <w:tabs>
          <w:tab w:val="left" w:pos="3135"/>
        </w:tabs>
        <w:jc w:val="center"/>
        <w:rPr>
          <w:rFonts w:asciiTheme="majorBidi" w:hAnsiTheme="majorBidi" w:cstheme="majorBidi"/>
          <w:b/>
          <w:bCs/>
        </w:rPr>
      </w:pPr>
      <w:r w:rsidRPr="00276D84">
        <w:rPr>
          <w:rFonts w:asciiTheme="majorBidi" w:hAnsiTheme="majorBidi" w:cstheme="majorBidi"/>
          <w:b/>
          <w:bCs/>
          <w:noProof/>
          <w:color w:val="000000"/>
          <w:lang w:eastAsia="fr-FR"/>
        </w:rPr>
        <w:lastRenderedPageBreak/>
        <w:drawing>
          <wp:inline distT="0" distB="0" distL="0" distR="0">
            <wp:extent cx="5334000" cy="3064401"/>
            <wp:effectExtent l="19050" t="19050" r="19050" b="21699"/>
            <wp:docPr id="3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6440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D84" w:rsidRDefault="00276D84" w:rsidP="00276D84">
      <w:pPr>
        <w:spacing w:after="0" w:line="240" w:lineRule="auto"/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S</w:t>
      </w:r>
      <w:r w:rsidRPr="00276D84">
        <w:rPr>
          <w:rFonts w:asciiTheme="majorBidi" w:hAnsiTheme="majorBidi" w:cstheme="majorBidi"/>
          <w:b/>
          <w:bCs/>
        </w:rPr>
        <w:t>tructure de la membrane plasmique d’une cellule bactérienne</w:t>
      </w:r>
      <w:r>
        <w:rPr>
          <w:rFonts w:asciiTheme="majorBidi" w:hAnsiTheme="majorBidi" w:cstheme="majorBidi"/>
          <w:b/>
          <w:bCs/>
        </w:rPr>
        <w:t xml:space="preserve"> (modèle de la mosaïque fluide)</w:t>
      </w:r>
    </w:p>
    <w:p w:rsidR="00276D84" w:rsidRDefault="00276D84" w:rsidP="00276D84">
      <w:pPr>
        <w:spacing w:after="0" w:line="240" w:lineRule="auto"/>
        <w:jc w:val="center"/>
        <w:rPr>
          <w:rFonts w:asciiTheme="majorBidi" w:hAnsiTheme="majorBidi" w:cstheme="majorBidi"/>
          <w:b/>
          <w:bCs/>
        </w:rPr>
      </w:pPr>
    </w:p>
    <w:p w:rsidR="00276D84" w:rsidRDefault="00276D84" w:rsidP="00276D84">
      <w:pPr>
        <w:spacing w:after="0" w:line="240" w:lineRule="auto"/>
        <w:jc w:val="center"/>
        <w:rPr>
          <w:rFonts w:asciiTheme="majorBidi" w:hAnsiTheme="majorBidi" w:cstheme="majorBidi"/>
          <w:b/>
          <w:bCs/>
        </w:rPr>
      </w:pPr>
    </w:p>
    <w:p w:rsidR="00276D84" w:rsidRDefault="00276D84" w:rsidP="005C7E40">
      <w:pPr>
        <w:spacing w:after="0" w:line="240" w:lineRule="auto"/>
        <w:rPr>
          <w:rFonts w:asciiTheme="majorBidi" w:hAnsiTheme="majorBidi" w:cstheme="majorBidi"/>
          <w:b/>
          <w:bCs/>
        </w:rPr>
      </w:pPr>
      <w:r w:rsidRPr="00276D84">
        <w:rPr>
          <w:rFonts w:asciiTheme="majorBidi" w:hAnsiTheme="majorBidi" w:cstheme="majorBidi"/>
          <w:b/>
          <w:bCs/>
          <w:noProof/>
          <w:lang w:eastAsia="fr-FR"/>
        </w:rPr>
        <w:drawing>
          <wp:inline distT="0" distB="0" distL="0" distR="0">
            <wp:extent cx="2745416" cy="1273968"/>
            <wp:effectExtent l="19050" t="19050" r="16834" b="21432"/>
            <wp:docPr id="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913" cy="127651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</w:rPr>
        <w:t xml:space="preserve">           </w:t>
      </w:r>
      <w:r w:rsidRPr="00276D84">
        <w:rPr>
          <w:rFonts w:asciiTheme="majorBidi" w:hAnsiTheme="majorBidi" w:cstheme="majorBidi"/>
          <w:b/>
          <w:bCs/>
          <w:noProof/>
          <w:lang w:eastAsia="fr-FR"/>
        </w:rPr>
        <w:drawing>
          <wp:inline distT="0" distB="0" distL="0" distR="0">
            <wp:extent cx="2539877" cy="1275907"/>
            <wp:effectExtent l="19050" t="19050" r="12823" b="19493"/>
            <wp:docPr id="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877" cy="127590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E40" w:rsidRPr="005C7E40" w:rsidRDefault="005C7E40" w:rsidP="005C7E40">
      <w:pPr>
        <w:spacing w:after="0" w:line="240" w:lineRule="auto"/>
        <w:rPr>
          <w:rFonts w:asciiTheme="majorBidi" w:hAnsiTheme="majorBidi" w:cstheme="majorBidi"/>
          <w:b/>
          <w:bCs/>
        </w:rPr>
      </w:pPr>
    </w:p>
    <w:p w:rsidR="00E67A18" w:rsidRDefault="00E67A18" w:rsidP="005C7E40">
      <w:pPr>
        <w:jc w:val="center"/>
        <w:rPr>
          <w:rFonts w:asciiTheme="majorBidi" w:hAnsiTheme="majorBidi" w:cstheme="majorBidi"/>
          <w:b/>
          <w:bCs/>
        </w:rPr>
      </w:pPr>
      <w:r w:rsidRPr="00E67A18">
        <w:rPr>
          <w:rFonts w:asciiTheme="majorBidi" w:hAnsiTheme="majorBidi" w:cstheme="majorBidi"/>
          <w:b/>
          <w:bCs/>
        </w:rPr>
        <w:t xml:space="preserve">Structure des membranes des archéobactéries </w:t>
      </w:r>
    </w:p>
    <w:p w:rsidR="005C7E40" w:rsidRDefault="005C7E40" w:rsidP="005C7E40">
      <w:pPr>
        <w:jc w:val="center"/>
        <w:rPr>
          <w:rFonts w:asciiTheme="majorBidi" w:hAnsiTheme="majorBidi" w:cstheme="majorBidi"/>
          <w:b/>
          <w:bCs/>
        </w:rPr>
      </w:pPr>
      <w:r w:rsidRPr="005C7E40">
        <w:rPr>
          <w:rFonts w:asciiTheme="majorBidi" w:hAnsiTheme="majorBidi" w:cstheme="majorBidi"/>
          <w:b/>
          <w:bCs/>
          <w:noProof/>
          <w:lang w:eastAsia="fr-FR"/>
        </w:rPr>
        <w:drawing>
          <wp:inline distT="0" distB="0" distL="0" distR="0">
            <wp:extent cx="5572125" cy="2246202"/>
            <wp:effectExtent l="19050" t="19050" r="28575" b="20748"/>
            <wp:docPr id="34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9" cy="22492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DEB" w:rsidRDefault="005C7E40" w:rsidP="00D86529">
      <w:pPr>
        <w:jc w:val="center"/>
        <w:rPr>
          <w:rFonts w:asciiTheme="majorBidi" w:hAnsiTheme="majorBidi" w:cstheme="majorBidi"/>
          <w:b/>
          <w:bCs/>
        </w:rPr>
      </w:pPr>
      <w:r w:rsidRPr="005C7E40">
        <w:rPr>
          <w:rFonts w:asciiTheme="majorBidi" w:hAnsiTheme="majorBidi" w:cstheme="majorBidi"/>
          <w:b/>
          <w:bCs/>
        </w:rPr>
        <w:t>Structure et constitution du ribosome bactérien</w:t>
      </w:r>
    </w:p>
    <w:p w:rsidR="00D86529" w:rsidRDefault="005C7E40" w:rsidP="00D86529">
      <w:pPr>
        <w:jc w:val="center"/>
        <w:rPr>
          <w:rFonts w:asciiTheme="majorBidi" w:hAnsiTheme="majorBidi" w:cstheme="majorBidi"/>
          <w:b/>
          <w:bCs/>
        </w:rPr>
      </w:pPr>
      <w:r w:rsidRPr="005C7E40">
        <w:rPr>
          <w:rFonts w:asciiTheme="majorBidi" w:hAnsiTheme="majorBidi" w:cstheme="majorBidi"/>
          <w:b/>
          <w:bCs/>
          <w:noProof/>
          <w:lang w:eastAsia="fr-FR"/>
        </w:rPr>
        <w:lastRenderedPageBreak/>
        <w:drawing>
          <wp:inline distT="0" distB="0" distL="0" distR="0">
            <wp:extent cx="3752850" cy="2543175"/>
            <wp:effectExtent l="19050" t="19050" r="19050" b="28575"/>
            <wp:docPr id="3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979" cy="254665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529" w:rsidRDefault="00D86529" w:rsidP="00D86529">
      <w:pPr>
        <w:jc w:val="center"/>
        <w:rPr>
          <w:rFonts w:asciiTheme="majorBidi" w:hAnsiTheme="majorBidi" w:cstheme="majorBidi"/>
          <w:b/>
          <w:bCs/>
        </w:rPr>
      </w:pPr>
      <w:r w:rsidRPr="005C7E40">
        <w:rPr>
          <w:rFonts w:asciiTheme="majorBidi" w:hAnsiTheme="majorBidi" w:cstheme="majorBidi"/>
          <w:b/>
          <w:bCs/>
        </w:rPr>
        <w:t xml:space="preserve">Structure </w:t>
      </w:r>
      <w:r>
        <w:rPr>
          <w:rFonts w:asciiTheme="majorBidi" w:hAnsiTheme="majorBidi" w:cstheme="majorBidi"/>
          <w:b/>
          <w:bCs/>
        </w:rPr>
        <w:t>de la spore bactérienne</w:t>
      </w:r>
    </w:p>
    <w:p w:rsidR="00D86529" w:rsidRDefault="00D86529" w:rsidP="00D86529">
      <w:pPr>
        <w:rPr>
          <w:rFonts w:asciiTheme="majorBidi" w:hAnsiTheme="majorBidi" w:cstheme="majorBidi"/>
          <w:b/>
          <w:bCs/>
          <w:noProof/>
          <w:lang w:eastAsia="fr-FR"/>
        </w:rPr>
      </w:pPr>
    </w:p>
    <w:p w:rsidR="005C7E40" w:rsidRPr="005C7E40" w:rsidRDefault="00D86529" w:rsidP="00D86529">
      <w:pPr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noProof/>
          <w:lang w:eastAsia="fr-FR"/>
        </w:rPr>
        <w:drawing>
          <wp:inline distT="0" distB="0" distL="0" distR="0">
            <wp:extent cx="5495925" cy="2809875"/>
            <wp:effectExtent l="19050" t="19050" r="28575" b="28575"/>
            <wp:docPr id="1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8098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E40" w:rsidRDefault="005C7E40" w:rsidP="00D86529">
      <w:pPr>
        <w:jc w:val="center"/>
        <w:rPr>
          <w:rFonts w:asciiTheme="majorBidi" w:hAnsiTheme="majorBidi" w:cstheme="majorBidi"/>
          <w:b/>
          <w:bCs/>
        </w:rPr>
      </w:pPr>
      <w:r w:rsidRPr="005C7E40">
        <w:rPr>
          <w:rFonts w:asciiTheme="majorBidi" w:hAnsiTheme="majorBidi" w:cstheme="majorBidi"/>
          <w:b/>
          <w:bCs/>
        </w:rPr>
        <w:t>Exemple de positions et de tailles d’endospores bactérien</w:t>
      </w:r>
      <w:r>
        <w:rPr>
          <w:rFonts w:asciiTheme="majorBidi" w:hAnsiTheme="majorBidi" w:cstheme="majorBidi"/>
          <w:b/>
          <w:bCs/>
        </w:rPr>
        <w:t>ne</w:t>
      </w:r>
      <w:r w:rsidRPr="005C7E40">
        <w:rPr>
          <w:rFonts w:asciiTheme="majorBidi" w:hAnsiTheme="majorBidi" w:cstheme="majorBidi"/>
          <w:b/>
          <w:bCs/>
        </w:rPr>
        <w:t>s</w:t>
      </w:r>
    </w:p>
    <w:p w:rsidR="00D86529" w:rsidRDefault="00D86529" w:rsidP="00D86529">
      <w:pPr>
        <w:rPr>
          <w:rFonts w:asciiTheme="majorBidi" w:hAnsiTheme="majorBidi" w:cstheme="majorBidi"/>
          <w:b/>
          <w:bCs/>
        </w:rPr>
      </w:pPr>
    </w:p>
    <w:p w:rsidR="00D86529" w:rsidRDefault="00D86529" w:rsidP="00D86529">
      <w:pPr>
        <w:rPr>
          <w:rFonts w:asciiTheme="majorBidi" w:hAnsiTheme="majorBidi" w:cstheme="majorBidi"/>
          <w:b/>
          <w:bCs/>
        </w:rPr>
      </w:pPr>
    </w:p>
    <w:p w:rsidR="00D86529" w:rsidRDefault="00D86529" w:rsidP="00D86529">
      <w:pPr>
        <w:rPr>
          <w:rFonts w:asciiTheme="majorBidi" w:hAnsiTheme="majorBidi" w:cstheme="majorBidi"/>
          <w:b/>
          <w:bCs/>
        </w:rPr>
      </w:pPr>
    </w:p>
    <w:p w:rsidR="00D86529" w:rsidRDefault="00D86529" w:rsidP="00D86529">
      <w:pPr>
        <w:rPr>
          <w:rFonts w:asciiTheme="majorBidi" w:hAnsiTheme="majorBidi" w:cstheme="majorBidi"/>
          <w:b/>
          <w:bCs/>
        </w:rPr>
      </w:pPr>
    </w:p>
    <w:p w:rsidR="00D86529" w:rsidRDefault="00D86529" w:rsidP="00D86529">
      <w:pPr>
        <w:rPr>
          <w:rFonts w:asciiTheme="majorBidi" w:hAnsiTheme="majorBidi" w:cstheme="majorBidi"/>
          <w:b/>
          <w:bCs/>
        </w:rPr>
      </w:pPr>
    </w:p>
    <w:p w:rsidR="00D86529" w:rsidRDefault="00D86529" w:rsidP="00D86529">
      <w:pPr>
        <w:rPr>
          <w:rFonts w:asciiTheme="majorBidi" w:hAnsiTheme="majorBidi" w:cstheme="majorBidi"/>
          <w:b/>
          <w:bCs/>
        </w:rPr>
      </w:pPr>
    </w:p>
    <w:p w:rsidR="00D86529" w:rsidRDefault="00D86529" w:rsidP="00D86529">
      <w:pPr>
        <w:rPr>
          <w:rFonts w:asciiTheme="majorBidi" w:hAnsiTheme="majorBidi" w:cstheme="majorBidi"/>
          <w:b/>
          <w:bCs/>
        </w:rPr>
      </w:pPr>
    </w:p>
    <w:p w:rsidR="00D86529" w:rsidRDefault="00D86529" w:rsidP="00D86529">
      <w:pPr>
        <w:rPr>
          <w:rFonts w:asciiTheme="majorBidi" w:hAnsiTheme="majorBidi" w:cstheme="majorBidi"/>
          <w:b/>
          <w:bCs/>
        </w:rPr>
      </w:pPr>
    </w:p>
    <w:p w:rsidR="00D86529" w:rsidRDefault="00D86529" w:rsidP="00D86529">
      <w:pPr>
        <w:rPr>
          <w:rFonts w:asciiTheme="majorBidi" w:hAnsiTheme="majorBidi" w:cstheme="majorBidi"/>
          <w:b/>
          <w:bCs/>
        </w:rPr>
      </w:pPr>
    </w:p>
    <w:p w:rsidR="00D86529" w:rsidRDefault="00D86529" w:rsidP="00E67A18">
      <w:pPr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noProof/>
          <w:lang w:eastAsia="fr-FR"/>
        </w:rPr>
        <w:drawing>
          <wp:inline distT="0" distB="0" distL="0" distR="0">
            <wp:extent cx="5753098" cy="3952875"/>
            <wp:effectExtent l="19050" t="19050" r="19052" b="28575"/>
            <wp:docPr id="12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5811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708" w:rsidRDefault="00A70708" w:rsidP="00E67A18">
      <w:pPr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Cycle sporal</w:t>
      </w:r>
    </w:p>
    <w:p w:rsidR="006D2E67" w:rsidRPr="005C7E40" w:rsidRDefault="006D2E67" w:rsidP="00E67A18">
      <w:pPr>
        <w:jc w:val="center"/>
        <w:rPr>
          <w:rFonts w:asciiTheme="majorBidi" w:hAnsiTheme="majorBidi" w:cstheme="majorBidi"/>
          <w:b/>
          <w:bCs/>
        </w:rPr>
      </w:pPr>
    </w:p>
    <w:p w:rsidR="00E67A18" w:rsidRDefault="00E67A18" w:rsidP="00E67A18">
      <w:pPr>
        <w:spacing w:before="240" w:after="0" w:line="360" w:lineRule="auto"/>
        <w:jc w:val="center"/>
        <w:rPr>
          <w:rFonts w:ascii="Bookman Old Style" w:hAnsi="Bookman Old Style"/>
          <w:sz w:val="24"/>
          <w:szCs w:val="24"/>
        </w:rPr>
      </w:pPr>
    </w:p>
    <w:p w:rsidR="00276D84" w:rsidRPr="00687C6B" w:rsidRDefault="00276D84" w:rsidP="002B3B14">
      <w:pPr>
        <w:tabs>
          <w:tab w:val="left" w:pos="3135"/>
        </w:tabs>
        <w:jc w:val="center"/>
        <w:rPr>
          <w:rFonts w:asciiTheme="majorBidi" w:hAnsiTheme="majorBidi" w:cstheme="majorBidi"/>
          <w:b/>
          <w:bCs/>
        </w:rPr>
      </w:pPr>
    </w:p>
    <w:sectPr w:rsidR="00276D84" w:rsidRPr="00687C6B" w:rsidSect="00F44B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00E2" w:rsidRDefault="005B00E2" w:rsidP="00AF5FE2">
      <w:pPr>
        <w:spacing w:after="0" w:line="240" w:lineRule="auto"/>
      </w:pPr>
      <w:r>
        <w:separator/>
      </w:r>
    </w:p>
  </w:endnote>
  <w:endnote w:type="continuationSeparator" w:id="1">
    <w:p w:rsidR="005B00E2" w:rsidRDefault="005B00E2" w:rsidP="00AF5F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00E2" w:rsidRDefault="005B00E2" w:rsidP="00AF5FE2">
      <w:pPr>
        <w:spacing w:after="0" w:line="240" w:lineRule="auto"/>
      </w:pPr>
      <w:r>
        <w:separator/>
      </w:r>
    </w:p>
  </w:footnote>
  <w:footnote w:type="continuationSeparator" w:id="1">
    <w:p w:rsidR="005B00E2" w:rsidRDefault="005B00E2" w:rsidP="00AF5F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3128F"/>
    <w:rsid w:val="00170725"/>
    <w:rsid w:val="00276D84"/>
    <w:rsid w:val="002B3B14"/>
    <w:rsid w:val="005B00E2"/>
    <w:rsid w:val="005C7E40"/>
    <w:rsid w:val="00687C6B"/>
    <w:rsid w:val="006D2E67"/>
    <w:rsid w:val="00764DEB"/>
    <w:rsid w:val="00A3128F"/>
    <w:rsid w:val="00A70708"/>
    <w:rsid w:val="00AF5FE2"/>
    <w:rsid w:val="00B45A8B"/>
    <w:rsid w:val="00C15219"/>
    <w:rsid w:val="00C45642"/>
    <w:rsid w:val="00CD58F1"/>
    <w:rsid w:val="00D86529"/>
    <w:rsid w:val="00E67A18"/>
    <w:rsid w:val="00F44B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4B3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31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128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AF5F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AF5FE2"/>
  </w:style>
  <w:style w:type="paragraph" w:styleId="Pieddepage">
    <w:name w:val="footer"/>
    <w:basedOn w:val="Normal"/>
    <w:link w:val="PieddepageCar"/>
    <w:uiPriority w:val="99"/>
    <w:semiHidden/>
    <w:unhideWhenUsed/>
    <w:rsid w:val="00AF5F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AF5FE2"/>
  </w:style>
  <w:style w:type="paragraph" w:customStyle="1" w:styleId="Default">
    <w:name w:val="Default"/>
    <w:rsid w:val="00AF5FE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359</Words>
  <Characters>1979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7</cp:revision>
  <dcterms:created xsi:type="dcterms:W3CDTF">2020-02-17T09:06:00Z</dcterms:created>
  <dcterms:modified xsi:type="dcterms:W3CDTF">2020-02-19T04:19:00Z</dcterms:modified>
</cp:coreProperties>
</file>