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22" w:rsidRDefault="00776852" w:rsidP="00CD6306">
      <w:pPr>
        <w:pStyle w:val="Sansinterligne"/>
      </w:pPr>
      <w:r>
        <w:rPr>
          <w:noProof/>
          <w:lang w:eastAsia="fr-FR"/>
        </w:rPr>
        <w:pict>
          <v:shapetype id="_x0000_t202" coordsize="21600,21600" o:spt="202" path="m,l,21600r21600,l21600,xe">
            <v:stroke joinstyle="miter"/>
            <v:path gradientshapeok="t" o:connecttype="rect"/>
          </v:shapetype>
          <v:shape id="_x0000_s1026" type="#_x0000_t202" style="position:absolute;margin-left:31.8pt;margin-top:-26.95pt;width:351.8pt;height:21.4pt;z-index:251660288;mso-height-percent:200;mso-height-percent:200;mso-width-relative:margin;mso-height-relative:margin" strokeweight="1pt">
            <v:textbox style="mso-next-textbox:#_x0000_s1026;mso-fit-shape-to-text:t">
              <w:txbxContent>
                <w:p w:rsidR="0063540A" w:rsidRPr="006B2C27" w:rsidRDefault="0063540A" w:rsidP="00D96309">
                  <w:pPr>
                    <w:pStyle w:val="Sansinterligne"/>
                    <w:jc w:val="center"/>
                    <w:rPr>
                      <w:rFonts w:asciiTheme="majorBidi" w:hAnsiTheme="majorBidi" w:cstheme="majorBidi"/>
                      <w:b/>
                      <w:bCs/>
                      <w:sz w:val="24"/>
                      <w:szCs w:val="24"/>
                    </w:rPr>
                  </w:pPr>
                  <w:r w:rsidRPr="006B2C27">
                    <w:rPr>
                      <w:rFonts w:asciiTheme="majorBidi" w:hAnsiTheme="majorBidi" w:cstheme="majorBidi"/>
                      <w:b/>
                      <w:bCs/>
                      <w:sz w:val="24"/>
                      <w:szCs w:val="24"/>
                    </w:rPr>
                    <w:t>TD N°</w:t>
                  </w:r>
                  <w:r w:rsidR="00D96309">
                    <w:rPr>
                      <w:rFonts w:asciiTheme="majorBidi" w:hAnsiTheme="majorBidi" w:cstheme="majorBidi"/>
                      <w:b/>
                      <w:bCs/>
                      <w:sz w:val="24"/>
                      <w:szCs w:val="24"/>
                    </w:rPr>
                    <w:t>7</w:t>
                  </w:r>
                  <w:r w:rsidRPr="006B2C27">
                    <w:rPr>
                      <w:rFonts w:asciiTheme="majorBidi" w:hAnsiTheme="majorBidi" w:cstheme="majorBidi"/>
                      <w:b/>
                      <w:bCs/>
                      <w:sz w:val="24"/>
                      <w:szCs w:val="24"/>
                    </w:rPr>
                    <w:t> : Gastrulation chez les amphibiens</w:t>
                  </w:r>
                  <w:r w:rsidR="000323BC" w:rsidRPr="006B2C27">
                    <w:rPr>
                      <w:rFonts w:asciiTheme="majorBidi" w:hAnsiTheme="majorBidi" w:cstheme="majorBidi"/>
                      <w:b/>
                      <w:bCs/>
                      <w:sz w:val="24"/>
                      <w:szCs w:val="24"/>
                    </w:rPr>
                    <w:t xml:space="preserve"> (support)</w:t>
                  </w:r>
                </w:p>
              </w:txbxContent>
            </v:textbox>
          </v:shape>
        </w:pict>
      </w:r>
    </w:p>
    <w:p w:rsidR="00054337" w:rsidRPr="00776137" w:rsidRDefault="00054337" w:rsidP="00054337">
      <w:pPr>
        <w:pStyle w:val="Sansinterligne"/>
        <w:rPr>
          <w:rFonts w:asciiTheme="majorBidi" w:hAnsiTheme="majorBidi" w:cstheme="majorBidi"/>
          <w:b/>
          <w:bCs/>
          <w:u w:val="single"/>
        </w:rPr>
      </w:pPr>
      <w:r w:rsidRPr="00776137">
        <w:rPr>
          <w:rFonts w:asciiTheme="majorBidi" w:hAnsiTheme="majorBidi" w:cstheme="majorBidi"/>
          <w:b/>
          <w:bCs/>
          <w:color w:val="FF0000"/>
          <w:u w:val="single"/>
          <w:shd w:val="clear" w:color="auto" w:fill="FFFFFF"/>
        </w:rPr>
        <w:t>A\ Les phénomènes externes de la gastrulation.</w:t>
      </w:r>
      <w:r w:rsidRPr="00776137">
        <w:rPr>
          <w:rFonts w:asciiTheme="majorBidi" w:hAnsiTheme="majorBidi" w:cstheme="majorBidi"/>
          <w:b/>
          <w:bCs/>
          <w:u w:val="single"/>
        </w:rPr>
        <w:t xml:space="preserve"> </w:t>
      </w:r>
    </w:p>
    <w:p w:rsidR="00054337" w:rsidRPr="00411123" w:rsidRDefault="00054337" w:rsidP="00054337">
      <w:pPr>
        <w:pStyle w:val="Sansinterligne"/>
        <w:rPr>
          <w:rFonts w:asciiTheme="majorBidi" w:hAnsiTheme="majorBidi" w:cstheme="majorBidi"/>
        </w:rPr>
      </w:pPr>
    </w:p>
    <w:p w:rsidR="0063540A" w:rsidRPr="00411123" w:rsidRDefault="00776137" w:rsidP="00054337">
      <w:pPr>
        <w:pStyle w:val="Sansinterligne"/>
        <w:rPr>
          <w:rFonts w:asciiTheme="majorBidi" w:hAnsiTheme="majorBidi" w:cstheme="majorBidi"/>
        </w:rPr>
      </w:pPr>
      <w:r>
        <w:rPr>
          <w:rFonts w:asciiTheme="majorBidi" w:hAnsiTheme="majorBidi" w:cstheme="majorBidi"/>
        </w:rPr>
        <w:t xml:space="preserve">   </w:t>
      </w:r>
      <w:r w:rsidR="00054337" w:rsidRPr="00411123">
        <w:rPr>
          <w:rFonts w:asciiTheme="majorBidi" w:hAnsiTheme="majorBidi" w:cstheme="majorBidi"/>
        </w:rPr>
        <w:t>En vue externe la gastrulation va être caractérisée par l’apparition du blastopore (zone d’invagination cellulaire)</w:t>
      </w:r>
      <w:r>
        <w:rPr>
          <w:rFonts w:asciiTheme="majorBidi" w:hAnsiTheme="majorBidi" w:cstheme="majorBidi"/>
        </w:rPr>
        <w:t>.</w:t>
      </w:r>
    </w:p>
    <w:p w:rsidR="00054337" w:rsidRPr="00411123" w:rsidRDefault="00054337" w:rsidP="00054337">
      <w:pPr>
        <w:pStyle w:val="Default"/>
        <w:rPr>
          <w:rFonts w:asciiTheme="majorBidi" w:hAnsiTheme="majorBidi" w:cstheme="majorBidi"/>
          <w:sz w:val="22"/>
          <w:szCs w:val="22"/>
        </w:rPr>
      </w:pPr>
      <w:r w:rsidRPr="00411123">
        <w:rPr>
          <w:rFonts w:asciiTheme="majorBidi" w:hAnsiTheme="majorBidi" w:cstheme="majorBidi"/>
          <w:sz w:val="22"/>
          <w:szCs w:val="22"/>
        </w:rPr>
        <w:t>Le blastopore commence à se former juste sous le croissant gris sous l’apparition d’une encoche (encoche blastoporale) qui est située dans un plan perpendiculaire au plan de symétrie bilatérale. Elle est limitée par une lèvre du côté du croissant gris (lèvre dorsale du blastopore)</w:t>
      </w:r>
      <w:r w:rsidR="00776137">
        <w:rPr>
          <w:rFonts w:asciiTheme="majorBidi" w:hAnsiTheme="majorBidi" w:cstheme="majorBidi"/>
          <w:sz w:val="22"/>
          <w:szCs w:val="22"/>
        </w:rPr>
        <w:t>.</w:t>
      </w:r>
      <w:r w:rsidRPr="00411123">
        <w:rPr>
          <w:rFonts w:asciiTheme="majorBidi" w:hAnsiTheme="majorBidi" w:cstheme="majorBidi"/>
          <w:sz w:val="22"/>
          <w:szCs w:val="22"/>
        </w:rPr>
        <w:t xml:space="preserve"> </w:t>
      </w:r>
    </w:p>
    <w:p w:rsidR="00054337" w:rsidRPr="00411123" w:rsidRDefault="00054337" w:rsidP="00054337">
      <w:pPr>
        <w:pStyle w:val="Default"/>
        <w:rPr>
          <w:rFonts w:asciiTheme="majorBidi" w:hAnsiTheme="majorBidi" w:cstheme="majorBidi"/>
          <w:sz w:val="22"/>
          <w:szCs w:val="22"/>
        </w:rPr>
      </w:pPr>
      <w:r w:rsidRPr="00411123">
        <w:rPr>
          <w:rFonts w:asciiTheme="majorBidi" w:hAnsiTheme="majorBidi" w:cstheme="majorBidi"/>
          <w:sz w:val="22"/>
          <w:szCs w:val="22"/>
        </w:rPr>
        <w:t xml:space="preserve">Ce blastopore va subir une modification de sa forme et une modification de son emplacement. </w:t>
      </w:r>
    </w:p>
    <w:p w:rsidR="00054337" w:rsidRPr="00411123" w:rsidRDefault="00054337" w:rsidP="00054337">
      <w:pPr>
        <w:pStyle w:val="Sansinterligne"/>
        <w:rPr>
          <w:rFonts w:asciiTheme="majorBidi" w:hAnsiTheme="majorBidi" w:cstheme="majorBidi"/>
        </w:rPr>
      </w:pPr>
      <w:r w:rsidRPr="00411123">
        <w:rPr>
          <w:rFonts w:asciiTheme="majorBidi" w:hAnsiTheme="majorBidi" w:cstheme="majorBidi"/>
        </w:rPr>
        <w:t xml:space="preserve">Il va glisser de la région dorsale vers le pôle végétatif et va progressivement s’incurver tout d’abord pour prendre une forme en « anse de panier » (stade en « anse de panier » toujours limité par une seule lèvre) puis en « fer à cheval » </w:t>
      </w:r>
      <w:proofErr w:type="gramStart"/>
      <w:r w:rsidRPr="00411123">
        <w:rPr>
          <w:rFonts w:asciiTheme="majorBidi" w:hAnsiTheme="majorBidi" w:cstheme="majorBidi"/>
        </w:rPr>
        <w:t>( stade</w:t>
      </w:r>
      <w:proofErr w:type="gramEnd"/>
      <w:r w:rsidRPr="00411123">
        <w:rPr>
          <w:rFonts w:asciiTheme="majorBidi" w:hAnsiTheme="majorBidi" w:cstheme="majorBidi"/>
        </w:rPr>
        <w:t xml:space="preserve"> en « fer à cheval »</w:t>
      </w:r>
      <w:r w:rsidR="00776137">
        <w:rPr>
          <w:rFonts w:asciiTheme="majorBidi" w:hAnsiTheme="majorBidi" w:cstheme="majorBidi"/>
        </w:rPr>
        <w:t xml:space="preserve"> </w:t>
      </w:r>
      <w:r w:rsidRPr="00411123">
        <w:rPr>
          <w:rFonts w:asciiTheme="majorBidi" w:hAnsiTheme="majorBidi" w:cstheme="majorBidi"/>
        </w:rPr>
        <w:t xml:space="preserve">il va alors être limité par trois lèvres : toujours la lèvre dorsale du blastopore et par deux lèvres latérales du blastopore). Il finit par se circulariser au niveau du pôle végétatif (stade du « bouchon vitellin » limité par maintenant quatre lèvres : la lèvre </w:t>
      </w:r>
      <w:r w:rsidR="00776137">
        <w:rPr>
          <w:rFonts w:asciiTheme="majorBidi" w:hAnsiTheme="majorBidi" w:cstheme="majorBidi"/>
        </w:rPr>
        <w:t>ventrale du blastopore apparait.</w:t>
      </w:r>
    </w:p>
    <w:p w:rsidR="00054337" w:rsidRPr="00411123" w:rsidRDefault="00054337" w:rsidP="00054337">
      <w:pPr>
        <w:pStyle w:val="Default"/>
        <w:rPr>
          <w:rFonts w:asciiTheme="majorBidi" w:hAnsiTheme="majorBidi" w:cstheme="majorBidi"/>
          <w:sz w:val="22"/>
          <w:szCs w:val="22"/>
        </w:rPr>
      </w:pPr>
      <w:r w:rsidRPr="00411123">
        <w:rPr>
          <w:rFonts w:asciiTheme="majorBidi" w:hAnsiTheme="majorBidi" w:cstheme="majorBidi"/>
          <w:sz w:val="22"/>
          <w:szCs w:val="22"/>
        </w:rPr>
        <w:t xml:space="preserve">Puis, toujours au niveau du pôle végétatif, le blastopore diminue de diamètre et va limiter à une simple fente appelée la fente </w:t>
      </w:r>
      <w:proofErr w:type="spellStart"/>
      <w:r w:rsidRPr="00411123">
        <w:rPr>
          <w:rFonts w:asciiTheme="majorBidi" w:hAnsiTheme="majorBidi" w:cstheme="majorBidi"/>
          <w:sz w:val="22"/>
          <w:szCs w:val="22"/>
        </w:rPr>
        <w:t>blastoporale</w:t>
      </w:r>
      <w:proofErr w:type="spellEnd"/>
      <w:r w:rsidRPr="00411123">
        <w:rPr>
          <w:rFonts w:asciiTheme="majorBidi" w:hAnsiTheme="majorBidi" w:cstheme="majorBidi"/>
          <w:sz w:val="22"/>
          <w:szCs w:val="22"/>
        </w:rPr>
        <w:t xml:space="preserve"> (située dans le plan de symétrie bilatérale) </w:t>
      </w:r>
    </w:p>
    <w:p w:rsidR="00054337" w:rsidRPr="00411123" w:rsidRDefault="00054337" w:rsidP="00054337">
      <w:pPr>
        <w:pStyle w:val="Default"/>
        <w:rPr>
          <w:rFonts w:asciiTheme="majorBidi" w:hAnsiTheme="majorBidi" w:cstheme="majorBidi"/>
          <w:sz w:val="22"/>
          <w:szCs w:val="22"/>
        </w:rPr>
      </w:pPr>
      <w:r w:rsidRPr="00411123">
        <w:rPr>
          <w:rFonts w:asciiTheme="majorBidi" w:hAnsiTheme="majorBidi" w:cstheme="majorBidi"/>
          <w:sz w:val="22"/>
          <w:szCs w:val="22"/>
        </w:rPr>
        <w:t xml:space="preserve">A ce moment là, l’axe pôle animal – pôle végétatif perd son nom : </w:t>
      </w:r>
    </w:p>
    <w:p w:rsidR="00054337" w:rsidRPr="00411123" w:rsidRDefault="00054337" w:rsidP="00054337">
      <w:pPr>
        <w:pStyle w:val="Default"/>
        <w:numPr>
          <w:ilvl w:val="0"/>
          <w:numId w:val="1"/>
        </w:numPr>
        <w:spacing w:after="30"/>
        <w:rPr>
          <w:rFonts w:asciiTheme="majorBidi" w:hAnsiTheme="majorBidi" w:cstheme="majorBidi"/>
          <w:sz w:val="22"/>
          <w:szCs w:val="22"/>
        </w:rPr>
      </w:pPr>
      <w:r w:rsidRPr="00411123">
        <w:rPr>
          <w:rFonts w:asciiTheme="majorBidi" w:hAnsiTheme="majorBidi" w:cstheme="majorBidi"/>
          <w:sz w:val="22"/>
          <w:szCs w:val="22"/>
        </w:rPr>
        <w:t xml:space="preserve">Le pôle animal devient le pôle antérieur de l’embryon </w:t>
      </w:r>
    </w:p>
    <w:p w:rsidR="00054337" w:rsidRPr="00411123" w:rsidRDefault="00054337" w:rsidP="00054337">
      <w:pPr>
        <w:pStyle w:val="Default"/>
        <w:numPr>
          <w:ilvl w:val="0"/>
          <w:numId w:val="1"/>
        </w:numPr>
        <w:spacing w:after="30"/>
        <w:rPr>
          <w:rFonts w:asciiTheme="majorBidi" w:hAnsiTheme="majorBidi" w:cstheme="majorBidi"/>
          <w:sz w:val="22"/>
          <w:szCs w:val="22"/>
        </w:rPr>
      </w:pPr>
      <w:r w:rsidRPr="00411123">
        <w:rPr>
          <w:rFonts w:asciiTheme="majorBidi" w:hAnsiTheme="majorBidi" w:cstheme="majorBidi"/>
          <w:sz w:val="22"/>
          <w:szCs w:val="22"/>
        </w:rPr>
        <w:t xml:space="preserve"> Le pôle végétatif devient l’axe postérieur </w:t>
      </w:r>
    </w:p>
    <w:p w:rsidR="003B2222" w:rsidRPr="00411123" w:rsidRDefault="00054337" w:rsidP="003B2222">
      <w:pPr>
        <w:pStyle w:val="Sansinterligne"/>
        <w:rPr>
          <w:rFonts w:asciiTheme="majorBidi" w:hAnsiTheme="majorBidi" w:cstheme="majorBidi"/>
        </w:rPr>
      </w:pPr>
      <w:r w:rsidRPr="00411123">
        <w:rPr>
          <w:rFonts w:asciiTheme="majorBidi" w:hAnsiTheme="majorBidi" w:cstheme="majorBidi"/>
        </w:rPr>
        <w:t>L’axe est alors appelé antéropostérieur</w:t>
      </w:r>
    </w:p>
    <w:p w:rsidR="003B2222" w:rsidRDefault="003B2222" w:rsidP="003B2222">
      <w:pPr>
        <w:pStyle w:val="Sansinterligne"/>
        <w:rPr>
          <w:rFonts w:asciiTheme="majorBidi" w:hAnsiTheme="majorBidi" w:cstheme="majorBidi"/>
          <w:sz w:val="20"/>
          <w:szCs w:val="20"/>
        </w:rPr>
      </w:pPr>
    </w:p>
    <w:p w:rsidR="00776137" w:rsidRDefault="00776137" w:rsidP="00776137">
      <w:pPr>
        <w:pStyle w:val="Sansinterligne"/>
        <w:jc w:val="center"/>
        <w:rPr>
          <w:rFonts w:asciiTheme="majorBidi" w:hAnsiTheme="majorBidi" w:cstheme="majorBidi"/>
          <w:sz w:val="20"/>
          <w:szCs w:val="20"/>
        </w:rPr>
      </w:pPr>
      <w:r w:rsidRPr="00776137">
        <w:rPr>
          <w:rFonts w:asciiTheme="majorBidi" w:hAnsiTheme="majorBidi" w:cstheme="majorBidi"/>
          <w:noProof/>
          <w:sz w:val="20"/>
          <w:szCs w:val="20"/>
          <w:lang w:eastAsia="fr-FR"/>
        </w:rPr>
        <w:drawing>
          <wp:inline distT="0" distB="0" distL="0" distR="0">
            <wp:extent cx="4340448" cy="2511380"/>
            <wp:effectExtent l="19050" t="19050" r="22002" b="22270"/>
            <wp:docPr id="2" name="Image 1" descr="http://www.snv.jussieu.fr/bmedia/xenope1/gastrulation/gastjebv.gif"/>
            <wp:cNvGraphicFramePr/>
            <a:graphic xmlns:a="http://schemas.openxmlformats.org/drawingml/2006/main">
              <a:graphicData uri="http://schemas.openxmlformats.org/drawingml/2006/picture">
                <pic:pic xmlns:pic="http://schemas.openxmlformats.org/drawingml/2006/picture">
                  <pic:nvPicPr>
                    <pic:cNvPr id="124930" name="Picture 2" descr="http://www.snv.jussieu.fr/bmedia/xenope1/gastrulation/gastjebv.gif"/>
                    <pic:cNvPicPr>
                      <a:picLocks noChangeAspect="1" noChangeArrowheads="1"/>
                    </pic:cNvPicPr>
                  </pic:nvPicPr>
                  <pic:blipFill>
                    <a:blip r:embed="rId8" cstate="print"/>
                    <a:srcRect/>
                    <a:stretch>
                      <a:fillRect/>
                    </a:stretch>
                  </pic:blipFill>
                  <pic:spPr bwMode="auto">
                    <a:xfrm>
                      <a:off x="0" y="0"/>
                      <a:ext cx="4342657" cy="2512658"/>
                    </a:xfrm>
                    <a:prstGeom prst="rect">
                      <a:avLst/>
                    </a:prstGeom>
                    <a:noFill/>
                    <a:ln w="12700">
                      <a:solidFill>
                        <a:schemeClr val="tx1"/>
                      </a:solidFill>
                    </a:ln>
                  </pic:spPr>
                </pic:pic>
              </a:graphicData>
            </a:graphic>
          </wp:inline>
        </w:drawing>
      </w:r>
    </w:p>
    <w:p w:rsidR="00776137" w:rsidRDefault="00776137" w:rsidP="00776137">
      <w:pPr>
        <w:pStyle w:val="Sansinterligne"/>
        <w:jc w:val="center"/>
        <w:rPr>
          <w:rFonts w:asciiTheme="majorBidi" w:hAnsiTheme="majorBidi" w:cstheme="majorBidi"/>
          <w:sz w:val="20"/>
          <w:szCs w:val="20"/>
        </w:rPr>
      </w:pPr>
    </w:p>
    <w:p w:rsidR="00776137" w:rsidRPr="00776137" w:rsidRDefault="00776137" w:rsidP="00776137">
      <w:pPr>
        <w:pStyle w:val="Sansinterligne"/>
        <w:jc w:val="center"/>
        <w:rPr>
          <w:rFonts w:asciiTheme="majorBidi" w:hAnsiTheme="majorBidi" w:cstheme="majorBidi"/>
        </w:rPr>
      </w:pPr>
      <w:r w:rsidRPr="00776137">
        <w:rPr>
          <w:rFonts w:asciiTheme="majorBidi" w:hAnsiTheme="majorBidi" w:cstheme="majorBidi"/>
          <w:b/>
          <w:bCs/>
          <w:u w:val="single"/>
        </w:rPr>
        <w:t>Figure1</w:t>
      </w:r>
      <w:r w:rsidRPr="00776137">
        <w:rPr>
          <w:rFonts w:asciiTheme="majorBidi" w:hAnsiTheme="majorBidi" w:cstheme="majorBidi"/>
          <w:b/>
          <w:bCs/>
        </w:rPr>
        <w:t xml:space="preserve"> : </w:t>
      </w:r>
      <w:r w:rsidRPr="00776137">
        <w:rPr>
          <w:rFonts w:asciiTheme="majorBidi" w:hAnsiTheme="majorBidi" w:cstheme="majorBidi"/>
        </w:rPr>
        <w:t xml:space="preserve">Représentation de la gastrulation vue par l'hémisphère végétatif montrant l'évolution du blastopore depuis sa formation (stade encoche </w:t>
      </w:r>
      <w:proofErr w:type="spellStart"/>
      <w:r w:rsidRPr="00776137">
        <w:rPr>
          <w:rFonts w:asciiTheme="majorBidi" w:hAnsiTheme="majorBidi" w:cstheme="majorBidi"/>
        </w:rPr>
        <w:t>blastoporale</w:t>
      </w:r>
      <w:proofErr w:type="spellEnd"/>
      <w:r w:rsidRPr="00776137">
        <w:rPr>
          <w:rFonts w:asciiTheme="majorBidi" w:hAnsiTheme="majorBidi" w:cstheme="majorBidi"/>
        </w:rPr>
        <w:t xml:space="preserve">) jusqu'à l'achèvement de la gastrulation (stade fente </w:t>
      </w:r>
      <w:proofErr w:type="spellStart"/>
      <w:r w:rsidRPr="00776137">
        <w:rPr>
          <w:rFonts w:asciiTheme="majorBidi" w:hAnsiTheme="majorBidi" w:cstheme="majorBidi"/>
        </w:rPr>
        <w:t>blastoporale</w:t>
      </w:r>
      <w:proofErr w:type="spellEnd"/>
      <w:r w:rsidRPr="00776137">
        <w:rPr>
          <w:rFonts w:asciiTheme="majorBidi" w:hAnsiTheme="majorBidi" w:cstheme="majorBidi"/>
        </w:rPr>
        <w:t xml:space="preserve">) </w:t>
      </w:r>
    </w:p>
    <w:p w:rsidR="00776137" w:rsidRPr="00E97FB9" w:rsidRDefault="00776137" w:rsidP="00776137">
      <w:pPr>
        <w:pStyle w:val="Sansinterligne"/>
        <w:jc w:val="center"/>
        <w:rPr>
          <w:rFonts w:asciiTheme="majorBidi" w:hAnsiTheme="majorBidi" w:cstheme="majorBidi"/>
          <w:sz w:val="20"/>
          <w:szCs w:val="20"/>
        </w:rPr>
      </w:pPr>
    </w:p>
    <w:p w:rsidR="00054337" w:rsidRDefault="00054337" w:rsidP="00054337">
      <w:pPr>
        <w:pStyle w:val="Sansinterligne"/>
        <w:rPr>
          <w:rFonts w:asciiTheme="majorBidi" w:hAnsiTheme="majorBidi" w:cstheme="majorBidi"/>
          <w:color w:val="FF0000"/>
          <w:u w:val="single"/>
          <w:shd w:val="clear" w:color="auto" w:fill="FFFFFF"/>
        </w:rPr>
      </w:pPr>
      <w:r w:rsidRPr="00411123">
        <w:rPr>
          <w:rFonts w:asciiTheme="majorBidi" w:hAnsiTheme="majorBidi" w:cstheme="majorBidi"/>
          <w:color w:val="FF0000"/>
          <w:u w:val="single"/>
          <w:shd w:val="clear" w:color="auto" w:fill="FFFFFF"/>
        </w:rPr>
        <w:t>B\ Les phénomènes internes de la gastrulation.</w:t>
      </w:r>
    </w:p>
    <w:p w:rsidR="00054337" w:rsidRDefault="00054337" w:rsidP="00054337">
      <w:pPr>
        <w:pStyle w:val="Sansinterligne"/>
        <w:rPr>
          <w:rFonts w:asciiTheme="majorBidi" w:hAnsiTheme="majorBidi" w:cstheme="majorBidi"/>
          <w:color w:val="555544"/>
          <w:shd w:val="clear" w:color="auto" w:fill="FFFFFF"/>
        </w:rPr>
      </w:pPr>
      <w:r w:rsidRPr="00411123">
        <w:rPr>
          <w:rFonts w:asciiTheme="majorBidi" w:hAnsiTheme="majorBidi" w:cstheme="majorBidi"/>
          <w:color w:val="555544"/>
        </w:rPr>
        <w:br/>
      </w:r>
      <w:r w:rsidRPr="00411123">
        <w:rPr>
          <w:rFonts w:asciiTheme="majorBidi" w:hAnsiTheme="majorBidi" w:cstheme="majorBidi"/>
          <w:color w:val="555544"/>
          <w:shd w:val="clear" w:color="auto" w:fill="FFFFFF"/>
        </w:rPr>
        <w:t>L’analyse des mouvements morphogénétiques de la gastrulation a été rendue possible par l’utilisation de marqueurs colorés (ex : VOGT) : c’est l’aboutissement à la carte des territoires présomptifs.</w:t>
      </w:r>
    </w:p>
    <w:p w:rsidR="00776137" w:rsidRDefault="00776137" w:rsidP="00054337">
      <w:pPr>
        <w:pStyle w:val="Sansinterligne"/>
        <w:rPr>
          <w:rFonts w:asciiTheme="majorBidi" w:hAnsiTheme="majorBidi" w:cstheme="majorBidi"/>
          <w:color w:val="555544"/>
          <w:shd w:val="clear" w:color="auto" w:fill="FFFFFF"/>
        </w:rPr>
      </w:pPr>
    </w:p>
    <w:p w:rsidR="00776137" w:rsidRDefault="00776137" w:rsidP="00776137">
      <w:pPr>
        <w:pStyle w:val="Sansinterligne"/>
        <w:jc w:val="center"/>
        <w:rPr>
          <w:rFonts w:asciiTheme="majorBidi" w:hAnsiTheme="majorBidi" w:cstheme="majorBidi"/>
          <w:color w:val="555544"/>
          <w:shd w:val="clear" w:color="auto" w:fill="FFFFFF"/>
        </w:rPr>
      </w:pPr>
      <w:r w:rsidRPr="00776137">
        <w:rPr>
          <w:rFonts w:asciiTheme="majorBidi" w:hAnsiTheme="majorBidi" w:cstheme="majorBidi"/>
          <w:noProof/>
          <w:color w:val="555544"/>
          <w:shd w:val="clear" w:color="auto" w:fill="FFFFFF"/>
          <w:lang w:eastAsia="fr-FR"/>
        </w:rPr>
        <w:lastRenderedPageBreak/>
        <w:drawing>
          <wp:inline distT="0" distB="0" distL="0" distR="0">
            <wp:extent cx="5274310" cy="2762908"/>
            <wp:effectExtent l="19050" t="19050" r="21590" b="18392"/>
            <wp:docPr id="3" name="Image 2"/>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9" cstate="print"/>
                    <a:srcRect/>
                    <a:stretch>
                      <a:fillRect/>
                    </a:stretch>
                  </pic:blipFill>
                  <pic:spPr bwMode="auto">
                    <a:xfrm>
                      <a:off x="0" y="0"/>
                      <a:ext cx="5274310" cy="2762908"/>
                    </a:xfrm>
                    <a:prstGeom prst="rect">
                      <a:avLst/>
                    </a:prstGeom>
                    <a:noFill/>
                    <a:ln w="12700">
                      <a:solidFill>
                        <a:schemeClr val="tx1"/>
                      </a:solidFill>
                      <a:miter lim="800000"/>
                      <a:headEnd/>
                      <a:tailEnd/>
                    </a:ln>
                  </pic:spPr>
                </pic:pic>
              </a:graphicData>
            </a:graphic>
          </wp:inline>
        </w:drawing>
      </w:r>
    </w:p>
    <w:p w:rsidR="006B2C27" w:rsidRDefault="006B2C27" w:rsidP="00776137">
      <w:pPr>
        <w:pStyle w:val="Sansinterligne"/>
        <w:jc w:val="center"/>
        <w:rPr>
          <w:rFonts w:asciiTheme="majorBidi" w:hAnsiTheme="majorBidi" w:cstheme="majorBidi"/>
          <w:color w:val="555544"/>
          <w:shd w:val="clear" w:color="auto" w:fill="FFFFFF"/>
        </w:rPr>
      </w:pPr>
    </w:p>
    <w:p w:rsidR="00E97FB9" w:rsidRPr="006B2C27" w:rsidRDefault="00776137" w:rsidP="006B2C27">
      <w:pPr>
        <w:pStyle w:val="Sansinterligne"/>
        <w:jc w:val="center"/>
        <w:rPr>
          <w:rFonts w:asciiTheme="majorBidi" w:hAnsiTheme="majorBidi" w:cstheme="majorBidi"/>
          <w:color w:val="555544"/>
          <w:shd w:val="clear" w:color="auto" w:fill="FFFFFF"/>
        </w:rPr>
      </w:pPr>
      <w:r w:rsidRPr="006B2C27">
        <w:rPr>
          <w:rFonts w:asciiTheme="majorBidi" w:hAnsiTheme="majorBidi" w:cstheme="majorBidi"/>
          <w:b/>
          <w:bCs/>
          <w:color w:val="555544"/>
          <w:u w:val="single"/>
          <w:shd w:val="clear" w:color="auto" w:fill="FFFFFF"/>
        </w:rPr>
        <w:t>Figure2 </w:t>
      </w:r>
      <w:r>
        <w:rPr>
          <w:rFonts w:asciiTheme="majorBidi" w:hAnsiTheme="majorBidi" w:cstheme="majorBidi"/>
          <w:color w:val="555544"/>
          <w:shd w:val="clear" w:color="auto" w:fill="FFFFFF"/>
        </w:rPr>
        <w:t xml:space="preserve">: </w:t>
      </w:r>
      <w:r w:rsidR="006B2C27" w:rsidRPr="006B2C27">
        <w:rPr>
          <w:rFonts w:asciiTheme="majorBidi" w:hAnsiTheme="majorBidi" w:cstheme="majorBidi"/>
          <w:color w:val="555544"/>
          <w:shd w:val="clear" w:color="auto" w:fill="FFFFFF"/>
        </w:rPr>
        <w:t>Cartes des territoires présomptifs d’une blast</w:t>
      </w:r>
      <w:r w:rsidR="006B2C27">
        <w:rPr>
          <w:rFonts w:asciiTheme="majorBidi" w:hAnsiTheme="majorBidi" w:cstheme="majorBidi"/>
          <w:color w:val="555544"/>
          <w:shd w:val="clear" w:color="auto" w:fill="FFFFFF"/>
        </w:rPr>
        <w:t>u</w:t>
      </w:r>
      <w:r w:rsidR="006B2C27" w:rsidRPr="006B2C27">
        <w:rPr>
          <w:rFonts w:asciiTheme="majorBidi" w:hAnsiTheme="majorBidi" w:cstheme="majorBidi"/>
          <w:color w:val="555544"/>
          <w:shd w:val="clear" w:color="auto" w:fill="FFFFFF"/>
        </w:rPr>
        <w:t xml:space="preserve">la d’urodèle </w:t>
      </w:r>
      <w:r w:rsidR="006B2C27">
        <w:rPr>
          <w:rFonts w:asciiTheme="majorBidi" w:hAnsiTheme="majorBidi" w:cstheme="majorBidi"/>
          <w:color w:val="555544"/>
          <w:shd w:val="clear" w:color="auto" w:fill="FFFFFF"/>
        </w:rPr>
        <w:t>(</w:t>
      </w:r>
      <w:r w:rsidR="006B2C27" w:rsidRPr="006B2C27">
        <w:rPr>
          <w:rFonts w:asciiTheme="majorBidi" w:hAnsiTheme="majorBidi" w:cstheme="majorBidi"/>
          <w:color w:val="555544"/>
          <w:shd w:val="clear" w:color="auto" w:fill="FFFFFF"/>
        </w:rPr>
        <w:t>vue latérale</w:t>
      </w:r>
      <w:r w:rsidR="006B2C27">
        <w:rPr>
          <w:rFonts w:asciiTheme="majorBidi" w:hAnsiTheme="majorBidi" w:cstheme="majorBidi"/>
          <w:color w:val="555544"/>
          <w:shd w:val="clear" w:color="auto" w:fill="FFFFFF"/>
        </w:rPr>
        <w:t>).</w:t>
      </w:r>
    </w:p>
    <w:p w:rsidR="00E97FB9" w:rsidRPr="00E97FB9" w:rsidRDefault="00E97FB9" w:rsidP="00E97FB9">
      <w:pPr>
        <w:pStyle w:val="Sansinterligne"/>
        <w:jc w:val="center"/>
        <w:rPr>
          <w:rFonts w:asciiTheme="majorBidi" w:hAnsiTheme="majorBidi" w:cstheme="majorBidi"/>
          <w:color w:val="555544"/>
          <w:sz w:val="20"/>
          <w:szCs w:val="20"/>
          <w:shd w:val="clear" w:color="auto" w:fill="FFFFFF"/>
        </w:rPr>
      </w:pPr>
    </w:p>
    <w:p w:rsidR="00E97FB9" w:rsidRPr="00411123" w:rsidRDefault="00E97FB9" w:rsidP="00E97FB9">
      <w:pPr>
        <w:pStyle w:val="Sansinterligne"/>
        <w:rPr>
          <w:rFonts w:asciiTheme="majorBidi" w:hAnsiTheme="majorBidi" w:cstheme="majorBidi"/>
        </w:rPr>
      </w:pPr>
      <w:r w:rsidRPr="00411123">
        <w:rPr>
          <w:rFonts w:asciiTheme="majorBidi" w:hAnsiTheme="majorBidi" w:cstheme="majorBidi"/>
        </w:rPr>
        <w:t xml:space="preserve">Au niveau du blastopore : extension convergente, les tissus s’allongent en direction de </w:t>
      </w:r>
      <w:r w:rsidR="000718AE" w:rsidRPr="00411123">
        <w:rPr>
          <w:rFonts w:asciiTheme="majorBidi" w:hAnsiTheme="majorBidi" w:cstheme="majorBidi"/>
        </w:rPr>
        <w:t>ce blastopore</w:t>
      </w:r>
      <w:r w:rsidRPr="00411123">
        <w:rPr>
          <w:rFonts w:asciiTheme="majorBidi" w:hAnsiTheme="majorBidi" w:cstheme="majorBidi"/>
        </w:rPr>
        <w:t xml:space="preserve">. Le futur endoderme et le futur mésoderme sont les premiers à s’allonger car se sont les plus proches du blastopore. Ils vont effectuer un mouvement d’involution. </w:t>
      </w:r>
    </w:p>
    <w:p w:rsidR="00E97FB9" w:rsidRPr="00411123" w:rsidRDefault="00E97FB9" w:rsidP="00E97FB9">
      <w:pPr>
        <w:pStyle w:val="Sansinterligne"/>
        <w:rPr>
          <w:rFonts w:asciiTheme="majorBidi" w:hAnsiTheme="majorBidi" w:cstheme="majorBidi"/>
        </w:rPr>
      </w:pPr>
      <w:r w:rsidRPr="00411123">
        <w:rPr>
          <w:rFonts w:asciiTheme="majorBidi" w:hAnsiTheme="majorBidi" w:cstheme="majorBidi"/>
        </w:rPr>
        <w:t xml:space="preserve">Mouvement d’involution : mouvement d’enroulement de type tapis roulant qui permettent aux cellules à l’extérieur de l’embryon de se retrouver à l’intérieur de l’embryon. </w:t>
      </w:r>
    </w:p>
    <w:p w:rsidR="00E97FB9" w:rsidRPr="00411123" w:rsidRDefault="00E97FB9" w:rsidP="00E97FB9">
      <w:pPr>
        <w:pStyle w:val="Sansinterligne"/>
        <w:rPr>
          <w:rFonts w:asciiTheme="majorBidi" w:hAnsiTheme="majorBidi" w:cstheme="majorBidi"/>
        </w:rPr>
      </w:pPr>
      <w:r w:rsidRPr="00411123">
        <w:rPr>
          <w:rFonts w:asciiTheme="majorBidi" w:hAnsiTheme="majorBidi" w:cstheme="majorBidi"/>
        </w:rPr>
        <w:t xml:space="preserve">A l’issue de ce mouvement, on a un mouvement d’invagination (ou embolie) </w:t>
      </w:r>
    </w:p>
    <w:p w:rsidR="00E97FB9" w:rsidRPr="00411123" w:rsidRDefault="00E97FB9" w:rsidP="00E97FB9">
      <w:pPr>
        <w:pStyle w:val="Sansinterligne"/>
        <w:rPr>
          <w:rFonts w:asciiTheme="majorBidi" w:hAnsiTheme="majorBidi" w:cstheme="majorBidi"/>
        </w:rPr>
      </w:pPr>
      <w:r w:rsidRPr="00411123">
        <w:rPr>
          <w:rFonts w:asciiTheme="majorBidi" w:hAnsiTheme="majorBidi" w:cstheme="majorBidi"/>
        </w:rPr>
        <w:t xml:space="preserve">Au stade de l’anse de panier, une partie du mésoderme </w:t>
      </w:r>
      <w:proofErr w:type="spellStart"/>
      <w:r w:rsidRPr="00411123">
        <w:rPr>
          <w:rFonts w:asciiTheme="majorBidi" w:hAnsiTheme="majorBidi" w:cstheme="majorBidi"/>
        </w:rPr>
        <w:t>précordal</w:t>
      </w:r>
      <w:proofErr w:type="spellEnd"/>
      <w:r w:rsidRPr="00411123">
        <w:rPr>
          <w:rFonts w:asciiTheme="majorBidi" w:hAnsiTheme="majorBidi" w:cstheme="majorBidi"/>
        </w:rPr>
        <w:t xml:space="preserve"> a suivi le mouvement </w:t>
      </w:r>
      <w:proofErr w:type="gramStart"/>
      <w:r w:rsidRPr="00411123">
        <w:rPr>
          <w:rFonts w:asciiTheme="majorBidi" w:hAnsiTheme="majorBidi" w:cstheme="majorBidi"/>
        </w:rPr>
        <w:t xml:space="preserve">d’embolie </w:t>
      </w:r>
      <w:r w:rsidR="006B2C27">
        <w:rPr>
          <w:rFonts w:asciiTheme="majorBidi" w:hAnsiTheme="majorBidi" w:cstheme="majorBidi"/>
        </w:rPr>
        <w:t>.</w:t>
      </w:r>
      <w:proofErr w:type="gramEnd"/>
    </w:p>
    <w:p w:rsidR="00E97FB9" w:rsidRPr="00411123" w:rsidRDefault="00E97FB9" w:rsidP="00E97FB9">
      <w:pPr>
        <w:pStyle w:val="Sansinterligne"/>
        <w:rPr>
          <w:rFonts w:asciiTheme="majorBidi" w:hAnsiTheme="majorBidi" w:cstheme="majorBidi"/>
        </w:rPr>
      </w:pPr>
      <w:r w:rsidRPr="00411123">
        <w:rPr>
          <w:rFonts w:asciiTheme="majorBidi" w:hAnsiTheme="majorBidi" w:cstheme="majorBidi"/>
        </w:rPr>
        <w:t xml:space="preserve">L’une des premières conséquences de l’embolie de ces territoires est la diminution du volume du </w:t>
      </w:r>
      <w:r w:rsidR="00291BE5" w:rsidRPr="00411123">
        <w:rPr>
          <w:rFonts w:asciiTheme="majorBidi" w:hAnsiTheme="majorBidi" w:cstheme="majorBidi"/>
        </w:rPr>
        <w:t>blastocœle</w:t>
      </w:r>
      <w:r w:rsidRPr="00411123">
        <w:rPr>
          <w:rFonts w:asciiTheme="majorBidi" w:hAnsiTheme="majorBidi" w:cstheme="majorBidi"/>
        </w:rPr>
        <w:t xml:space="preserve"> </w:t>
      </w:r>
    </w:p>
    <w:p w:rsidR="00E97FB9" w:rsidRPr="00411123" w:rsidRDefault="00E97FB9" w:rsidP="00E97FB9">
      <w:pPr>
        <w:pStyle w:val="Sansinterligne"/>
        <w:rPr>
          <w:rFonts w:asciiTheme="majorBidi" w:hAnsiTheme="majorBidi" w:cstheme="majorBidi"/>
        </w:rPr>
      </w:pPr>
      <w:r w:rsidRPr="00411123">
        <w:rPr>
          <w:rFonts w:asciiTheme="majorBidi" w:hAnsiTheme="majorBidi" w:cstheme="majorBidi"/>
        </w:rPr>
        <w:t xml:space="preserve">D’autre part, on va voir l’apparition d’une autre cavité : l’archentéron qui se forme entre l’endoderme et le mésoderme </w:t>
      </w:r>
    </w:p>
    <w:p w:rsidR="00E97FB9" w:rsidRPr="00411123" w:rsidRDefault="00E97FB9" w:rsidP="00E97FB9">
      <w:pPr>
        <w:pStyle w:val="Sansinterligne"/>
        <w:rPr>
          <w:rFonts w:asciiTheme="majorBidi" w:hAnsiTheme="majorBidi" w:cstheme="majorBidi"/>
        </w:rPr>
      </w:pPr>
      <w:r w:rsidRPr="00411123">
        <w:rPr>
          <w:rFonts w:asciiTheme="majorBidi" w:hAnsiTheme="majorBidi" w:cstheme="majorBidi"/>
        </w:rPr>
        <w:t xml:space="preserve">Au stade du bouchon vitellin, le bouchon représente la seule partie en contact avec la partie extérieure de l’embryon. </w:t>
      </w:r>
      <w:proofErr w:type="gramStart"/>
      <w:r w:rsidRPr="00411123">
        <w:rPr>
          <w:rFonts w:asciiTheme="majorBidi" w:hAnsiTheme="majorBidi" w:cstheme="majorBidi"/>
        </w:rPr>
        <w:t>l’essentiel</w:t>
      </w:r>
      <w:proofErr w:type="gramEnd"/>
      <w:r w:rsidRPr="00411123">
        <w:rPr>
          <w:rFonts w:asciiTheme="majorBidi" w:hAnsiTheme="majorBidi" w:cstheme="majorBidi"/>
        </w:rPr>
        <w:t xml:space="preserve"> du mésoderme est </w:t>
      </w:r>
      <w:proofErr w:type="spellStart"/>
      <w:r w:rsidRPr="00411123">
        <w:rPr>
          <w:rFonts w:asciiTheme="majorBidi" w:hAnsiTheme="majorBidi" w:cstheme="majorBidi"/>
        </w:rPr>
        <w:t>mainteant</w:t>
      </w:r>
      <w:proofErr w:type="spellEnd"/>
      <w:r w:rsidRPr="00411123">
        <w:rPr>
          <w:rFonts w:asciiTheme="majorBidi" w:hAnsiTheme="majorBidi" w:cstheme="majorBidi"/>
        </w:rPr>
        <w:t xml:space="preserve"> à l’intérieur de l’embryon</w:t>
      </w:r>
    </w:p>
    <w:p w:rsidR="00E97FB9" w:rsidRPr="00411123" w:rsidRDefault="00E97FB9" w:rsidP="00E97FB9">
      <w:pPr>
        <w:pStyle w:val="Default"/>
        <w:rPr>
          <w:rFonts w:asciiTheme="majorBidi" w:hAnsiTheme="majorBidi" w:cstheme="majorBidi"/>
          <w:sz w:val="22"/>
          <w:szCs w:val="22"/>
        </w:rPr>
      </w:pPr>
      <w:r w:rsidRPr="00411123">
        <w:rPr>
          <w:rFonts w:asciiTheme="majorBidi" w:hAnsiTheme="majorBidi" w:cstheme="majorBidi"/>
          <w:sz w:val="22"/>
          <w:szCs w:val="22"/>
        </w:rPr>
        <w:t xml:space="preserve">L’embryon </w:t>
      </w:r>
      <w:proofErr w:type="gramStart"/>
      <w:r w:rsidRPr="00411123">
        <w:rPr>
          <w:rFonts w:asciiTheme="majorBidi" w:hAnsiTheme="majorBidi" w:cstheme="majorBidi"/>
          <w:sz w:val="22"/>
          <w:szCs w:val="22"/>
        </w:rPr>
        <w:t>a</w:t>
      </w:r>
      <w:proofErr w:type="gramEnd"/>
      <w:r w:rsidRPr="00411123">
        <w:rPr>
          <w:rFonts w:asciiTheme="majorBidi" w:hAnsiTheme="majorBidi" w:cstheme="majorBidi"/>
          <w:sz w:val="22"/>
          <w:szCs w:val="22"/>
        </w:rPr>
        <w:t xml:space="preserve"> bien basculé sur sa face ventrale et l’axe </w:t>
      </w:r>
      <w:proofErr w:type="spellStart"/>
      <w:r w:rsidRPr="00411123">
        <w:rPr>
          <w:rFonts w:asciiTheme="majorBidi" w:hAnsiTheme="majorBidi" w:cstheme="majorBidi"/>
          <w:sz w:val="22"/>
          <w:szCs w:val="22"/>
        </w:rPr>
        <w:t>antéro</w:t>
      </w:r>
      <w:proofErr w:type="spellEnd"/>
      <w:r w:rsidRPr="00411123">
        <w:rPr>
          <w:rFonts w:asciiTheme="majorBidi" w:hAnsiTheme="majorBidi" w:cstheme="majorBidi"/>
          <w:sz w:val="22"/>
          <w:szCs w:val="22"/>
        </w:rPr>
        <w:t xml:space="preserve"> postérieur est maintenant horizontal (alors qu’il était vertical au début). </w:t>
      </w:r>
    </w:p>
    <w:p w:rsidR="00E97FB9" w:rsidRPr="00411123" w:rsidRDefault="00E97FB9" w:rsidP="00E97FB9">
      <w:pPr>
        <w:pStyle w:val="Sansinterligne"/>
        <w:rPr>
          <w:rFonts w:asciiTheme="majorBidi" w:hAnsiTheme="majorBidi" w:cstheme="majorBidi"/>
        </w:rPr>
      </w:pPr>
      <w:r w:rsidRPr="00411123">
        <w:rPr>
          <w:rFonts w:asciiTheme="majorBidi" w:hAnsiTheme="majorBidi" w:cstheme="majorBidi"/>
        </w:rPr>
        <w:t>L’ectoderme est le seul tissu qui ne s’est pas invaginé. Il subit un mouvement d’</w:t>
      </w:r>
      <w:proofErr w:type="spellStart"/>
      <w:r w:rsidRPr="00411123">
        <w:rPr>
          <w:rFonts w:asciiTheme="majorBidi" w:hAnsiTheme="majorBidi" w:cstheme="majorBidi"/>
        </w:rPr>
        <w:t>épibolie</w:t>
      </w:r>
      <w:proofErr w:type="spellEnd"/>
      <w:r w:rsidRPr="00411123">
        <w:rPr>
          <w:rFonts w:asciiTheme="majorBidi" w:hAnsiTheme="majorBidi" w:cstheme="majorBidi"/>
        </w:rPr>
        <w:t xml:space="preserve"> (recouvrement de la surface de l’embryon)</w:t>
      </w:r>
    </w:p>
    <w:p w:rsidR="00E97FB9" w:rsidRPr="00411123" w:rsidRDefault="00E97FB9" w:rsidP="00054337">
      <w:pPr>
        <w:pStyle w:val="Sansinterligne"/>
        <w:rPr>
          <w:rFonts w:ascii="Tahoma" w:hAnsi="Tahoma" w:cs="Tahoma"/>
          <w:color w:val="555544"/>
          <w:shd w:val="clear" w:color="auto" w:fill="FFFFFF"/>
        </w:rPr>
      </w:pPr>
    </w:p>
    <w:p w:rsidR="00054337" w:rsidRDefault="00054337" w:rsidP="00F810EC">
      <w:pPr>
        <w:pStyle w:val="Sansinterligne"/>
        <w:jc w:val="center"/>
      </w:pPr>
    </w:p>
    <w:p w:rsidR="00860CEC" w:rsidRDefault="00860CEC" w:rsidP="00F810EC">
      <w:pPr>
        <w:pStyle w:val="Sansinterligne"/>
        <w:jc w:val="center"/>
      </w:pPr>
    </w:p>
    <w:p w:rsidR="00860CEC" w:rsidRDefault="00860CEC" w:rsidP="00F810EC">
      <w:pPr>
        <w:pStyle w:val="Sansinterligne"/>
        <w:jc w:val="center"/>
      </w:pPr>
      <w:r>
        <w:rPr>
          <w:noProof/>
          <w:lang w:eastAsia="fr-FR"/>
        </w:rPr>
        <w:lastRenderedPageBreak/>
        <w:drawing>
          <wp:inline distT="0" distB="0" distL="0" distR="0">
            <wp:extent cx="4675047" cy="3477296"/>
            <wp:effectExtent l="19050" t="0" r="0" b="0"/>
            <wp:docPr id="1" name="Image 1" descr="Gastrulation d’embryon d’Amphi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trulation d’embryon d’Amphibien"/>
                    <pic:cNvPicPr>
                      <a:picLocks noChangeAspect="1" noChangeArrowheads="1"/>
                    </pic:cNvPicPr>
                  </pic:nvPicPr>
                  <pic:blipFill>
                    <a:blip r:embed="rId10" cstate="print"/>
                    <a:srcRect/>
                    <a:stretch>
                      <a:fillRect/>
                    </a:stretch>
                  </pic:blipFill>
                  <pic:spPr bwMode="auto">
                    <a:xfrm>
                      <a:off x="0" y="0"/>
                      <a:ext cx="4674868" cy="3477163"/>
                    </a:xfrm>
                    <a:prstGeom prst="rect">
                      <a:avLst/>
                    </a:prstGeom>
                    <a:noFill/>
                    <a:ln w="9525">
                      <a:noFill/>
                      <a:miter lim="800000"/>
                      <a:headEnd/>
                      <a:tailEnd/>
                    </a:ln>
                  </pic:spPr>
                </pic:pic>
              </a:graphicData>
            </a:graphic>
          </wp:inline>
        </w:drawing>
      </w:r>
    </w:p>
    <w:p w:rsidR="00860CEC" w:rsidRDefault="00860CEC" w:rsidP="00F810EC">
      <w:pPr>
        <w:pStyle w:val="Sansinterligne"/>
        <w:jc w:val="center"/>
      </w:pPr>
      <w:r>
        <w:rPr>
          <w:noProof/>
          <w:lang w:eastAsia="fr-FR"/>
        </w:rPr>
        <w:drawing>
          <wp:inline distT="0" distB="0" distL="0" distR="0">
            <wp:extent cx="4684105" cy="3296991"/>
            <wp:effectExtent l="19050" t="0" r="2195" b="0"/>
            <wp:docPr id="4" name="Image 4" descr="Gastrulation d’embryon d’Amphibi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trulation d’embryon d’Amphibien -2"/>
                    <pic:cNvPicPr>
                      <a:picLocks noChangeAspect="1" noChangeArrowheads="1"/>
                    </pic:cNvPicPr>
                  </pic:nvPicPr>
                  <pic:blipFill>
                    <a:blip r:embed="rId11" cstate="print"/>
                    <a:srcRect/>
                    <a:stretch>
                      <a:fillRect/>
                    </a:stretch>
                  </pic:blipFill>
                  <pic:spPr bwMode="auto">
                    <a:xfrm>
                      <a:off x="0" y="0"/>
                      <a:ext cx="4687712" cy="3299530"/>
                    </a:xfrm>
                    <a:prstGeom prst="rect">
                      <a:avLst/>
                    </a:prstGeom>
                    <a:noFill/>
                    <a:ln w="9525">
                      <a:noFill/>
                      <a:miter lim="800000"/>
                      <a:headEnd/>
                      <a:tailEnd/>
                    </a:ln>
                  </pic:spPr>
                </pic:pic>
              </a:graphicData>
            </a:graphic>
          </wp:inline>
        </w:drawing>
      </w:r>
    </w:p>
    <w:p w:rsidR="00347A01" w:rsidRDefault="00347A01" w:rsidP="00F810EC">
      <w:pPr>
        <w:pStyle w:val="Sansinterligne"/>
        <w:jc w:val="center"/>
      </w:pPr>
    </w:p>
    <w:p w:rsidR="00347A01" w:rsidRDefault="006B2C27" w:rsidP="00F7735A">
      <w:pPr>
        <w:pStyle w:val="Sansinterligne"/>
        <w:jc w:val="center"/>
        <w:rPr>
          <w:rFonts w:ascii="Calibri" w:hAnsi="Calibri"/>
          <w:color w:val="333333"/>
          <w:sz w:val="16"/>
          <w:szCs w:val="16"/>
          <w:shd w:val="clear" w:color="auto" w:fill="F9F9F9"/>
        </w:rPr>
      </w:pPr>
      <w:r w:rsidRPr="00F7735A">
        <w:rPr>
          <w:rFonts w:asciiTheme="majorBidi" w:hAnsiTheme="majorBidi" w:cstheme="majorBidi"/>
          <w:b/>
          <w:bCs/>
          <w:color w:val="333333"/>
          <w:u w:val="single"/>
          <w:shd w:val="clear" w:color="auto" w:fill="F9F9F9"/>
        </w:rPr>
        <w:t>Figure3 </w:t>
      </w:r>
      <w:r w:rsidRPr="00F7735A">
        <w:rPr>
          <w:rFonts w:asciiTheme="majorBidi" w:hAnsiTheme="majorBidi" w:cstheme="majorBidi"/>
          <w:color w:val="333333"/>
          <w:shd w:val="clear" w:color="auto" w:fill="F9F9F9"/>
        </w:rPr>
        <w:t>:</w:t>
      </w:r>
      <w:r w:rsidR="00347A01" w:rsidRPr="00F7735A">
        <w:rPr>
          <w:rFonts w:asciiTheme="majorBidi" w:hAnsiTheme="majorBidi" w:cstheme="majorBidi"/>
          <w:color w:val="333333"/>
          <w:shd w:val="clear" w:color="auto" w:fill="F9F9F9"/>
        </w:rPr>
        <w:t xml:space="preserve"> </w:t>
      </w:r>
      <w:r w:rsidR="00347A01" w:rsidRPr="00F7735A">
        <w:rPr>
          <w:rStyle w:val="Accentuation"/>
          <w:rFonts w:asciiTheme="majorBidi" w:hAnsiTheme="majorBidi" w:cstheme="majorBidi"/>
          <w:i w:val="0"/>
          <w:iCs w:val="0"/>
          <w:color w:val="333333"/>
          <w:bdr w:val="none" w:sz="0" w:space="0" w:color="auto" w:frame="1"/>
          <w:shd w:val="clear" w:color="auto" w:fill="F9F9F9"/>
        </w:rPr>
        <w:t>Gastrulation d’embryon d’Amphibien</w:t>
      </w:r>
      <w:r w:rsidR="00347A01" w:rsidRPr="00F7735A">
        <w:rPr>
          <w:rStyle w:val="Accentuation"/>
          <w:rFonts w:asciiTheme="majorBidi" w:hAnsiTheme="majorBidi" w:cstheme="majorBidi"/>
          <w:color w:val="333333"/>
          <w:bdr w:val="none" w:sz="0" w:space="0" w:color="auto" w:frame="1"/>
          <w:shd w:val="clear" w:color="auto" w:fill="F9F9F9"/>
        </w:rPr>
        <w:t>.</w:t>
      </w:r>
      <w:r w:rsidR="00347A01" w:rsidRPr="00F7735A">
        <w:rPr>
          <w:rStyle w:val="apple-converted-space"/>
          <w:rFonts w:asciiTheme="majorBidi" w:hAnsiTheme="majorBidi" w:cstheme="majorBidi"/>
          <w:color w:val="333333"/>
          <w:shd w:val="clear" w:color="auto" w:fill="F9F9F9"/>
        </w:rPr>
        <w:t> </w:t>
      </w:r>
      <w:r w:rsidR="00347A01" w:rsidRPr="00F7735A">
        <w:rPr>
          <w:rFonts w:asciiTheme="majorBidi" w:hAnsiTheme="majorBidi" w:cstheme="majorBidi"/>
          <w:color w:val="333333"/>
          <w:shd w:val="clear" w:color="auto" w:fill="F9F9F9"/>
        </w:rPr>
        <w:t xml:space="preserve">Vues externes dorsales la lèvre </w:t>
      </w:r>
      <w:proofErr w:type="spellStart"/>
      <w:r w:rsidR="00347A01" w:rsidRPr="00F7735A">
        <w:rPr>
          <w:rFonts w:asciiTheme="majorBidi" w:hAnsiTheme="majorBidi" w:cstheme="majorBidi"/>
          <w:color w:val="333333"/>
          <w:shd w:val="clear" w:color="auto" w:fill="F9F9F9"/>
        </w:rPr>
        <w:t>blasto</w:t>
      </w:r>
      <w:r w:rsidR="00347A01" w:rsidRPr="00F7735A">
        <w:rPr>
          <w:rFonts w:asciiTheme="majorBidi" w:hAnsiTheme="majorBidi" w:cstheme="majorBidi"/>
          <w:color w:val="333333"/>
          <w:shd w:val="clear" w:color="auto" w:fill="F9F9F9"/>
        </w:rPr>
        <w:softHyphen/>
        <w:t>porale</w:t>
      </w:r>
      <w:proofErr w:type="spellEnd"/>
      <w:r w:rsidR="00347A01" w:rsidRPr="00F7735A">
        <w:rPr>
          <w:rFonts w:asciiTheme="majorBidi" w:hAnsiTheme="majorBidi" w:cstheme="majorBidi"/>
          <w:color w:val="333333"/>
          <w:shd w:val="clear" w:color="auto" w:fill="F9F9F9"/>
        </w:rPr>
        <w:t xml:space="preserve"> dorsale (A) se prolonge par des lèvres latérales (B, C) qui se rejoignent par une lèvre ventrale (D) le tout circonscrit un bouchon vitellin qui se réduit (D, E), fait place à une fente </w:t>
      </w:r>
      <w:proofErr w:type="spellStart"/>
      <w:r w:rsidR="00347A01" w:rsidRPr="00F7735A">
        <w:rPr>
          <w:rFonts w:asciiTheme="majorBidi" w:hAnsiTheme="majorBidi" w:cstheme="majorBidi"/>
          <w:color w:val="333333"/>
          <w:shd w:val="clear" w:color="auto" w:fill="F9F9F9"/>
        </w:rPr>
        <w:t>blastoporale</w:t>
      </w:r>
      <w:proofErr w:type="spellEnd"/>
      <w:r w:rsidR="00347A01" w:rsidRPr="00F7735A">
        <w:rPr>
          <w:rFonts w:asciiTheme="majorBidi" w:hAnsiTheme="majorBidi" w:cstheme="majorBidi"/>
          <w:color w:val="333333"/>
          <w:shd w:val="clear" w:color="auto" w:fill="F9F9F9"/>
        </w:rPr>
        <w:t xml:space="preserve"> (F) quand l’endoderme a disparu à l’intérieur. Les vues en coupe </w:t>
      </w:r>
      <w:proofErr w:type="spellStart"/>
      <w:r w:rsidR="00347A01" w:rsidRPr="00F7735A">
        <w:rPr>
          <w:rFonts w:asciiTheme="majorBidi" w:hAnsiTheme="majorBidi" w:cstheme="majorBidi"/>
          <w:color w:val="333333"/>
          <w:shd w:val="clear" w:color="auto" w:fill="F9F9F9"/>
        </w:rPr>
        <w:t>sagit</w:t>
      </w:r>
      <w:r w:rsidR="00347A01" w:rsidRPr="00F7735A">
        <w:rPr>
          <w:rFonts w:asciiTheme="majorBidi" w:hAnsiTheme="majorBidi" w:cstheme="majorBidi"/>
          <w:color w:val="333333"/>
          <w:shd w:val="clear" w:color="auto" w:fill="F9F9F9"/>
        </w:rPr>
        <w:softHyphen/>
        <w:t>tale</w:t>
      </w:r>
      <w:proofErr w:type="spellEnd"/>
      <w:r w:rsidR="00347A01" w:rsidRPr="00F7735A">
        <w:rPr>
          <w:rFonts w:asciiTheme="majorBidi" w:hAnsiTheme="majorBidi" w:cstheme="majorBidi"/>
          <w:color w:val="333333"/>
          <w:shd w:val="clear" w:color="auto" w:fill="F9F9F9"/>
        </w:rPr>
        <w:t xml:space="preserve"> montrent la formation de l’archentéron, la réduction du blastocèle, l’élongation des feuillets ectoblastiques et mésoblastiques. A la fin de la gastrulation, l’embryon bascule sur la face ventrale (F). Des marques colorées, représentées ici en noir, sont déposées à la surface de la blastula. On suit leurs déformations et leurs migrations jusqu’à la fin de la gastrulation. </w:t>
      </w:r>
    </w:p>
    <w:p w:rsidR="00347A01" w:rsidRDefault="00347A01" w:rsidP="00F810EC">
      <w:pPr>
        <w:pStyle w:val="Sansinterligne"/>
        <w:jc w:val="center"/>
      </w:pPr>
    </w:p>
    <w:sectPr w:rsidR="00347A01" w:rsidSect="006B2C27">
      <w:headerReference w:type="default" r:id="rId12"/>
      <w:footerReference w:type="default" r:id="rId13"/>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DD" w:rsidRDefault="000A53DD" w:rsidP="00377378">
      <w:pPr>
        <w:spacing w:after="0" w:line="240" w:lineRule="auto"/>
      </w:pPr>
      <w:r>
        <w:separator/>
      </w:r>
    </w:p>
  </w:endnote>
  <w:endnote w:type="continuationSeparator" w:id="0">
    <w:p w:rsidR="000A53DD" w:rsidRDefault="000A53DD" w:rsidP="00377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5394"/>
      <w:docPartObj>
        <w:docPartGallery w:val="Page Numbers (Bottom of Page)"/>
        <w:docPartUnique/>
      </w:docPartObj>
    </w:sdtPr>
    <w:sdtContent>
      <w:p w:rsidR="00CD6306" w:rsidRDefault="00776852">
        <w:pPr>
          <w:pStyle w:val="Pieddepage"/>
          <w:jc w:val="center"/>
        </w:pPr>
        <w:fldSimple w:instr=" PAGE   \* MERGEFORMAT ">
          <w:r w:rsidR="00D96309">
            <w:rPr>
              <w:noProof/>
            </w:rPr>
            <w:t>3</w:t>
          </w:r>
        </w:fldSimple>
      </w:p>
    </w:sdtContent>
  </w:sdt>
  <w:p w:rsidR="00377378" w:rsidRDefault="003773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DD" w:rsidRDefault="000A53DD" w:rsidP="00377378">
      <w:pPr>
        <w:spacing w:after="0" w:line="240" w:lineRule="auto"/>
      </w:pPr>
      <w:r>
        <w:separator/>
      </w:r>
    </w:p>
  </w:footnote>
  <w:footnote w:type="continuationSeparator" w:id="0">
    <w:p w:rsidR="000A53DD" w:rsidRDefault="000A53DD" w:rsidP="00377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78" w:rsidRPr="00CD6306" w:rsidRDefault="00377378" w:rsidP="00377378">
    <w:pPr>
      <w:pStyle w:val="En-tte"/>
      <w:rPr>
        <w:rFonts w:asciiTheme="majorBidi" w:hAnsiTheme="majorBidi" w:cstheme="majorBidi"/>
        <w:sz w:val="20"/>
        <w:szCs w:val="20"/>
      </w:rPr>
    </w:pPr>
    <w:r w:rsidRPr="00CD6306">
      <w:rPr>
        <w:rFonts w:asciiTheme="majorBidi" w:hAnsiTheme="majorBidi" w:cstheme="majorBidi"/>
        <w:sz w:val="20"/>
        <w:szCs w:val="20"/>
      </w:rPr>
      <w:t>Université des frères Mentouri</w:t>
    </w:r>
    <w:r w:rsidRPr="00CD6306">
      <w:rPr>
        <w:rFonts w:asciiTheme="majorBidi" w:hAnsiTheme="majorBidi" w:cstheme="majorBidi"/>
        <w:sz w:val="20"/>
        <w:szCs w:val="20"/>
      </w:rPr>
      <w:ptab w:relativeTo="margin" w:alignment="center" w:leader="none"/>
    </w:r>
    <w:r w:rsidRPr="00CD6306">
      <w:rPr>
        <w:rFonts w:asciiTheme="majorBidi" w:hAnsiTheme="majorBidi" w:cstheme="majorBidi"/>
        <w:sz w:val="20"/>
        <w:szCs w:val="20"/>
      </w:rPr>
      <w:t>Matière Biologie Animale</w:t>
    </w:r>
    <w:r w:rsidRPr="00CD6306">
      <w:rPr>
        <w:rFonts w:asciiTheme="majorBidi" w:hAnsiTheme="majorBidi" w:cstheme="majorBidi"/>
        <w:sz w:val="20"/>
        <w:szCs w:val="20"/>
      </w:rPr>
      <w:ptab w:relativeTo="margin" w:alignment="right" w:leader="none"/>
    </w:r>
    <w:r w:rsidRPr="00CD6306">
      <w:rPr>
        <w:rFonts w:asciiTheme="majorBidi" w:hAnsiTheme="majorBidi" w:cstheme="majorBidi"/>
        <w:sz w:val="20"/>
        <w:szCs w:val="20"/>
      </w:rPr>
      <w:t>1</w:t>
    </w:r>
    <w:r w:rsidRPr="00CD6306">
      <w:rPr>
        <w:rFonts w:asciiTheme="majorBidi" w:hAnsiTheme="majorBidi" w:cstheme="majorBidi"/>
        <w:sz w:val="20"/>
        <w:szCs w:val="20"/>
        <w:vertAlign w:val="superscript"/>
      </w:rPr>
      <w:t>ère</w:t>
    </w:r>
    <w:r w:rsidRPr="00CD6306">
      <w:rPr>
        <w:rFonts w:asciiTheme="majorBidi" w:hAnsiTheme="majorBidi" w:cstheme="majorBidi"/>
        <w:sz w:val="20"/>
        <w:szCs w:val="20"/>
      </w:rPr>
      <w:t xml:space="preserve"> année LMD /TC /SNV</w:t>
    </w:r>
  </w:p>
  <w:p w:rsidR="00CD6306" w:rsidRDefault="00CD6306" w:rsidP="00377378">
    <w:pPr>
      <w:pStyle w:val="En-tte"/>
      <w:rPr>
        <w:sz w:val="20"/>
        <w:szCs w:val="20"/>
      </w:rPr>
    </w:pPr>
  </w:p>
  <w:p w:rsidR="00CD6306" w:rsidRDefault="00CD6306" w:rsidP="00377378">
    <w:pPr>
      <w:pStyle w:val="En-tte"/>
      <w:rPr>
        <w:sz w:val="20"/>
        <w:szCs w:val="20"/>
      </w:rPr>
    </w:pPr>
  </w:p>
  <w:p w:rsidR="00CD6306" w:rsidRPr="00CD6306" w:rsidRDefault="00CD6306" w:rsidP="00377378">
    <w:pPr>
      <w:pStyle w:val="En-tt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24AE"/>
    <w:multiLevelType w:val="hybridMultilevel"/>
    <w:tmpl w:val="A440B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63540A"/>
    <w:rsid w:val="0002189A"/>
    <w:rsid w:val="000323BC"/>
    <w:rsid w:val="00054337"/>
    <w:rsid w:val="000718AE"/>
    <w:rsid w:val="00092346"/>
    <w:rsid w:val="000A53DD"/>
    <w:rsid w:val="00114352"/>
    <w:rsid w:val="001A3266"/>
    <w:rsid w:val="001A6E78"/>
    <w:rsid w:val="00262632"/>
    <w:rsid w:val="0027706F"/>
    <w:rsid w:val="00291BE5"/>
    <w:rsid w:val="00294A95"/>
    <w:rsid w:val="002D54DA"/>
    <w:rsid w:val="00347A01"/>
    <w:rsid w:val="00377378"/>
    <w:rsid w:val="003B2222"/>
    <w:rsid w:val="00401F6B"/>
    <w:rsid w:val="00411123"/>
    <w:rsid w:val="004762D3"/>
    <w:rsid w:val="00492A3A"/>
    <w:rsid w:val="004C0E64"/>
    <w:rsid w:val="00535D71"/>
    <w:rsid w:val="0053601C"/>
    <w:rsid w:val="005D5E64"/>
    <w:rsid w:val="0063540A"/>
    <w:rsid w:val="006A575F"/>
    <w:rsid w:val="006B2C27"/>
    <w:rsid w:val="006F036E"/>
    <w:rsid w:val="00776137"/>
    <w:rsid w:val="007764B8"/>
    <w:rsid w:val="00776852"/>
    <w:rsid w:val="007C3A29"/>
    <w:rsid w:val="007D1336"/>
    <w:rsid w:val="007E0CB1"/>
    <w:rsid w:val="00860CEC"/>
    <w:rsid w:val="00B13A67"/>
    <w:rsid w:val="00B153D6"/>
    <w:rsid w:val="00B65FE9"/>
    <w:rsid w:val="00BA078B"/>
    <w:rsid w:val="00C30122"/>
    <w:rsid w:val="00CD6306"/>
    <w:rsid w:val="00D52D93"/>
    <w:rsid w:val="00D6486D"/>
    <w:rsid w:val="00D96309"/>
    <w:rsid w:val="00DD1E5F"/>
    <w:rsid w:val="00E328DA"/>
    <w:rsid w:val="00E4031F"/>
    <w:rsid w:val="00E43541"/>
    <w:rsid w:val="00E97FB9"/>
    <w:rsid w:val="00EB14E0"/>
    <w:rsid w:val="00F0724A"/>
    <w:rsid w:val="00F60A73"/>
    <w:rsid w:val="00F65CB0"/>
    <w:rsid w:val="00F7735A"/>
    <w:rsid w:val="00F810EC"/>
    <w:rsid w:val="00FA5E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540A"/>
    <w:pPr>
      <w:spacing w:after="0" w:line="240" w:lineRule="auto"/>
    </w:pPr>
  </w:style>
  <w:style w:type="paragraph" w:styleId="Textedebulles">
    <w:name w:val="Balloon Text"/>
    <w:basedOn w:val="Normal"/>
    <w:link w:val="TextedebullesCar"/>
    <w:uiPriority w:val="99"/>
    <w:semiHidden/>
    <w:unhideWhenUsed/>
    <w:rsid w:val="000543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337"/>
    <w:rPr>
      <w:rFonts w:ascii="Tahoma" w:hAnsi="Tahoma" w:cs="Tahoma"/>
      <w:sz w:val="16"/>
      <w:szCs w:val="16"/>
    </w:rPr>
  </w:style>
  <w:style w:type="paragraph" w:customStyle="1" w:styleId="Default">
    <w:name w:val="Default"/>
    <w:rsid w:val="0005433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Policepardfaut"/>
    <w:rsid w:val="00347A01"/>
  </w:style>
  <w:style w:type="character" w:styleId="Accentuation">
    <w:name w:val="Emphasis"/>
    <w:basedOn w:val="Policepardfaut"/>
    <w:uiPriority w:val="20"/>
    <w:qFormat/>
    <w:rsid w:val="00347A01"/>
    <w:rPr>
      <w:i/>
      <w:iCs/>
    </w:rPr>
  </w:style>
  <w:style w:type="paragraph" w:styleId="NormalWeb">
    <w:name w:val="Normal (Web)"/>
    <w:basedOn w:val="Normal"/>
    <w:uiPriority w:val="99"/>
    <w:semiHidden/>
    <w:unhideWhenUsed/>
    <w:rsid w:val="006B2C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7737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77378"/>
  </w:style>
  <w:style w:type="paragraph" w:styleId="Pieddepage">
    <w:name w:val="footer"/>
    <w:basedOn w:val="Normal"/>
    <w:link w:val="PieddepageCar"/>
    <w:uiPriority w:val="99"/>
    <w:unhideWhenUsed/>
    <w:rsid w:val="0037737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77378"/>
  </w:style>
</w:styles>
</file>

<file path=word/webSettings.xml><?xml version="1.0" encoding="utf-8"?>
<w:webSettings xmlns:r="http://schemas.openxmlformats.org/officeDocument/2006/relationships" xmlns:w="http://schemas.openxmlformats.org/wordprocessingml/2006/main">
  <w:divs>
    <w:div w:id="987439286">
      <w:bodyDiv w:val="1"/>
      <w:marLeft w:val="0"/>
      <w:marRight w:val="0"/>
      <w:marTop w:val="0"/>
      <w:marBottom w:val="0"/>
      <w:divBdr>
        <w:top w:val="none" w:sz="0" w:space="0" w:color="auto"/>
        <w:left w:val="none" w:sz="0" w:space="0" w:color="auto"/>
        <w:bottom w:val="none" w:sz="0" w:space="0" w:color="auto"/>
        <w:right w:val="none" w:sz="0" w:space="0" w:color="auto"/>
      </w:divBdr>
    </w:div>
    <w:div w:id="1927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3C086-BD94-4551-A0C2-C13D33DB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633</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ZOUAGHI</dc:creator>
  <cp:lastModifiedBy>ZOUAGHI</cp:lastModifiedBy>
  <cp:revision>9</cp:revision>
  <dcterms:created xsi:type="dcterms:W3CDTF">2017-02-03T19:37:00Z</dcterms:created>
  <dcterms:modified xsi:type="dcterms:W3CDTF">2019-05-30T11:29:00Z</dcterms:modified>
</cp:coreProperties>
</file>