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533" w:rsidRDefault="00FC3533" w:rsidP="00FC3533">
      <w:pPr>
        <w:spacing w:after="0" w:line="240" w:lineRule="auto"/>
        <w:rPr>
          <w:rFonts w:ascii="Arial" w:hAnsi="Arial" w:cs="Arial"/>
          <w:b/>
          <w:sz w:val="20"/>
          <w:szCs w:val="20"/>
        </w:rPr>
      </w:pPr>
    </w:p>
    <w:p w:rsidR="00416D68" w:rsidRPr="00FC3533" w:rsidRDefault="00416D68" w:rsidP="00FC3533">
      <w:pPr>
        <w:spacing w:after="0" w:line="240" w:lineRule="auto"/>
        <w:rPr>
          <w:rFonts w:ascii="Arial" w:hAnsi="Arial" w:cs="Arial"/>
          <w:b/>
          <w:sz w:val="20"/>
          <w:szCs w:val="20"/>
        </w:rPr>
      </w:pPr>
    </w:p>
    <w:p w:rsidR="00FC3533" w:rsidRPr="00FC3533" w:rsidRDefault="00A82D82" w:rsidP="00FC3533">
      <w:pPr>
        <w:pStyle w:val="Paragraphedeliste"/>
        <w:numPr>
          <w:ilvl w:val="0"/>
          <w:numId w:val="20"/>
        </w:numPr>
        <w:tabs>
          <w:tab w:val="left" w:pos="1455"/>
        </w:tabs>
        <w:spacing w:after="0" w:line="240" w:lineRule="auto"/>
        <w:ind w:left="284" w:hanging="284"/>
        <w:rPr>
          <w:rFonts w:ascii="Arial" w:hAnsi="Arial" w:cs="Arial"/>
          <w:b/>
          <w:sz w:val="20"/>
          <w:szCs w:val="20"/>
        </w:rPr>
      </w:pPr>
      <w:r>
        <w:rPr>
          <w:rFonts w:ascii="Arial" w:hAnsi="Arial" w:cs="Arial"/>
          <w:b/>
          <w:sz w:val="20"/>
          <w:szCs w:val="20"/>
        </w:rPr>
        <w:t xml:space="preserve">Présentation </w:t>
      </w:r>
    </w:p>
    <w:p w:rsidR="00FC3533" w:rsidRPr="00FC3533" w:rsidRDefault="00FC3533" w:rsidP="00FC3533">
      <w:pPr>
        <w:tabs>
          <w:tab w:val="left" w:pos="1455"/>
        </w:tabs>
        <w:spacing w:after="0" w:line="240" w:lineRule="auto"/>
        <w:jc w:val="both"/>
        <w:rPr>
          <w:rFonts w:ascii="Arial" w:hAnsi="Arial" w:cs="Arial"/>
          <w:sz w:val="20"/>
          <w:szCs w:val="20"/>
        </w:rPr>
      </w:pPr>
      <w:r w:rsidRPr="00FC3533">
        <w:rPr>
          <w:rFonts w:ascii="Arial" w:hAnsi="Arial" w:cs="Arial"/>
          <w:sz w:val="20"/>
          <w:szCs w:val="20"/>
        </w:rPr>
        <w:t xml:space="preserve">L’unité de base du code génétique </w:t>
      </w:r>
      <w:r w:rsidR="00762F82">
        <w:rPr>
          <w:rFonts w:ascii="Arial" w:hAnsi="Arial" w:cs="Arial"/>
          <w:sz w:val="20"/>
          <w:szCs w:val="20"/>
        </w:rPr>
        <w:t>est</w:t>
      </w:r>
      <w:r w:rsidRPr="00FC3533">
        <w:rPr>
          <w:rFonts w:ascii="Arial" w:hAnsi="Arial" w:cs="Arial"/>
          <w:sz w:val="20"/>
          <w:szCs w:val="20"/>
        </w:rPr>
        <w:t xml:space="preserve"> appelée </w:t>
      </w:r>
      <w:r w:rsidR="00A82D82">
        <w:rPr>
          <w:rFonts w:ascii="Arial" w:hAnsi="Arial" w:cs="Arial"/>
          <w:b/>
          <w:bCs/>
          <w:sz w:val="20"/>
          <w:szCs w:val="20"/>
        </w:rPr>
        <w:t>codon</w:t>
      </w:r>
      <w:r w:rsidRPr="00FC3533">
        <w:rPr>
          <w:rFonts w:ascii="Arial" w:hAnsi="Arial" w:cs="Arial"/>
          <w:sz w:val="20"/>
          <w:szCs w:val="20"/>
        </w:rPr>
        <w:t xml:space="preserve">. </w:t>
      </w:r>
      <w:r w:rsidR="00762F82" w:rsidRPr="00FC3533">
        <w:rPr>
          <w:rFonts w:ascii="Arial" w:hAnsi="Arial" w:cs="Arial"/>
          <w:sz w:val="20"/>
          <w:szCs w:val="20"/>
        </w:rPr>
        <w:t>Avec trois nucléotides par codon, il y a 4</w:t>
      </w:r>
      <w:r w:rsidR="00762F82" w:rsidRPr="00FC3533">
        <w:rPr>
          <w:rFonts w:ascii="Arial" w:hAnsi="Arial" w:cs="Arial"/>
          <w:sz w:val="20"/>
          <w:szCs w:val="20"/>
          <w:vertAlign w:val="superscript"/>
        </w:rPr>
        <w:t>3</w:t>
      </w:r>
      <w:r w:rsidR="00762F82" w:rsidRPr="00FC3533">
        <w:rPr>
          <w:rFonts w:ascii="Arial" w:hAnsi="Arial" w:cs="Arial"/>
          <w:sz w:val="20"/>
          <w:szCs w:val="20"/>
        </w:rPr>
        <w:t xml:space="preserve"> = 64 codons différents possibles.</w:t>
      </w:r>
      <w:r w:rsidR="00762F82">
        <w:rPr>
          <w:rFonts w:ascii="Arial" w:hAnsi="Arial" w:cs="Arial"/>
          <w:sz w:val="20"/>
          <w:szCs w:val="20"/>
        </w:rPr>
        <w:t xml:space="preserve"> </w:t>
      </w:r>
      <w:r w:rsidR="00A82D82">
        <w:rPr>
          <w:rFonts w:ascii="Arial" w:hAnsi="Arial" w:cs="Arial"/>
          <w:sz w:val="20"/>
          <w:szCs w:val="20"/>
        </w:rPr>
        <w:t xml:space="preserve">Les quatre bases constituent l’alphabet génétique à partir duquel est constitué par recombinaison sous forme de triplets (3 bases successives) le code génétique assurant la correspondance entre l’information génétique et la chaine polypeptidique (produit des gènes). </w:t>
      </w:r>
    </w:p>
    <w:p w:rsidR="00FC3533" w:rsidRPr="00FC3533" w:rsidRDefault="00FC3533" w:rsidP="00FC3533">
      <w:pPr>
        <w:tabs>
          <w:tab w:val="left" w:pos="1455"/>
        </w:tabs>
        <w:spacing w:after="0" w:line="240" w:lineRule="auto"/>
        <w:rPr>
          <w:rFonts w:ascii="Arial" w:hAnsi="Arial" w:cs="Arial"/>
          <w:sz w:val="20"/>
          <w:szCs w:val="20"/>
        </w:rPr>
      </w:pPr>
    </w:p>
    <w:p w:rsidR="00FC3533" w:rsidRPr="00A82D82" w:rsidRDefault="00FC3533" w:rsidP="00A82D82">
      <w:pPr>
        <w:pStyle w:val="Paragraphedeliste"/>
        <w:numPr>
          <w:ilvl w:val="0"/>
          <w:numId w:val="20"/>
        </w:numPr>
        <w:tabs>
          <w:tab w:val="left" w:pos="1455"/>
        </w:tabs>
        <w:spacing w:after="0" w:line="240" w:lineRule="auto"/>
        <w:ind w:left="284" w:hanging="284"/>
        <w:rPr>
          <w:rFonts w:ascii="Arial" w:hAnsi="Arial" w:cs="Arial"/>
          <w:sz w:val="20"/>
          <w:szCs w:val="20"/>
        </w:rPr>
      </w:pPr>
      <w:r w:rsidRPr="00A82D82">
        <w:rPr>
          <w:rFonts w:ascii="Arial" w:hAnsi="Arial" w:cs="Arial"/>
          <w:b/>
          <w:bCs/>
          <w:sz w:val="20"/>
          <w:szCs w:val="20"/>
        </w:rPr>
        <w:t>Les caractéristiques du code génétique</w:t>
      </w:r>
    </w:p>
    <w:p w:rsidR="00FC3533" w:rsidRPr="00A82D82" w:rsidRDefault="00FC3533" w:rsidP="00A82D82">
      <w:pPr>
        <w:pStyle w:val="Paragraphedeliste"/>
        <w:numPr>
          <w:ilvl w:val="0"/>
          <w:numId w:val="4"/>
        </w:numPr>
        <w:tabs>
          <w:tab w:val="left" w:pos="1455"/>
        </w:tabs>
        <w:spacing w:after="0" w:line="240" w:lineRule="auto"/>
        <w:rPr>
          <w:rFonts w:ascii="Arial" w:hAnsi="Arial" w:cs="Arial"/>
          <w:sz w:val="20"/>
          <w:szCs w:val="20"/>
        </w:rPr>
      </w:pPr>
      <w:r w:rsidRPr="00A82D82">
        <w:rPr>
          <w:rFonts w:ascii="Arial" w:hAnsi="Arial" w:cs="Arial"/>
          <w:b/>
          <w:bCs/>
          <w:sz w:val="20"/>
          <w:szCs w:val="20"/>
        </w:rPr>
        <w:t xml:space="preserve">La dégénérescence </w:t>
      </w:r>
    </w:p>
    <w:p w:rsidR="00FC3533" w:rsidRDefault="00FC3533" w:rsidP="00FC3533">
      <w:pPr>
        <w:tabs>
          <w:tab w:val="left" w:pos="1455"/>
        </w:tabs>
        <w:spacing w:after="0" w:line="240" w:lineRule="auto"/>
        <w:jc w:val="both"/>
        <w:rPr>
          <w:rFonts w:ascii="Arial" w:hAnsi="Arial" w:cs="Arial"/>
          <w:sz w:val="20"/>
          <w:szCs w:val="20"/>
        </w:rPr>
      </w:pPr>
      <w:r w:rsidRPr="00FC3533">
        <w:rPr>
          <w:rFonts w:ascii="Arial" w:hAnsi="Arial" w:cs="Arial"/>
          <w:sz w:val="20"/>
          <w:szCs w:val="20"/>
        </w:rPr>
        <w:t xml:space="preserve">Parmi les 64 codons, trois sont des </w:t>
      </w:r>
      <w:r w:rsidRPr="00A82D82">
        <w:rPr>
          <w:rFonts w:ascii="Arial" w:hAnsi="Arial" w:cs="Arial"/>
          <w:b/>
          <w:sz w:val="20"/>
          <w:szCs w:val="20"/>
        </w:rPr>
        <w:t>codons stop</w:t>
      </w:r>
      <w:r w:rsidRPr="00FC3533">
        <w:rPr>
          <w:rFonts w:ascii="Arial" w:hAnsi="Arial" w:cs="Arial"/>
          <w:sz w:val="20"/>
          <w:szCs w:val="20"/>
        </w:rPr>
        <w:t xml:space="preserve">, qui signalent la fin de la traduction. Les 61 codons restants, appelés </w:t>
      </w:r>
      <w:r w:rsidRPr="00FC3533">
        <w:rPr>
          <w:rFonts w:ascii="Arial" w:hAnsi="Arial" w:cs="Arial"/>
          <w:b/>
          <w:bCs/>
          <w:sz w:val="20"/>
          <w:szCs w:val="20"/>
        </w:rPr>
        <w:t>codons sens</w:t>
      </w:r>
      <w:r w:rsidRPr="00FC3533">
        <w:rPr>
          <w:rFonts w:ascii="Arial" w:hAnsi="Arial" w:cs="Arial"/>
          <w:sz w:val="20"/>
          <w:szCs w:val="20"/>
        </w:rPr>
        <w:t xml:space="preserve">, codent les 20 acides aminés trouvés dans les protéines. Le code contient donc plus d’informations qu’il n’en faut pour spécifier ces 20 acides aminés, et on dit qu’il s’agit d’un </w:t>
      </w:r>
      <w:r w:rsidRPr="00FC3533">
        <w:rPr>
          <w:rFonts w:ascii="Arial" w:hAnsi="Arial" w:cs="Arial"/>
          <w:b/>
          <w:bCs/>
          <w:sz w:val="20"/>
          <w:szCs w:val="20"/>
        </w:rPr>
        <w:t>code dégénéré</w:t>
      </w:r>
      <w:r w:rsidRPr="00FC3533">
        <w:rPr>
          <w:rFonts w:ascii="Arial" w:hAnsi="Arial" w:cs="Arial"/>
          <w:sz w:val="20"/>
          <w:szCs w:val="20"/>
        </w:rPr>
        <w:t xml:space="preserve">. Seuls le Trp et la Met ne sont spécifiés que par un seul codon. D’autres acides aminés sont spécifiés par deux codons, et certains, comme l’Arg et la Leu sont spécifiés par six codons différents. </w:t>
      </w:r>
    </w:p>
    <w:p w:rsidR="00A82D82" w:rsidRPr="00FC3533" w:rsidRDefault="00A82D82" w:rsidP="00FC3533">
      <w:pPr>
        <w:tabs>
          <w:tab w:val="left" w:pos="1455"/>
        </w:tabs>
        <w:spacing w:after="0" w:line="240" w:lineRule="auto"/>
        <w:jc w:val="both"/>
        <w:rPr>
          <w:rFonts w:ascii="Arial" w:hAnsi="Arial" w:cs="Arial"/>
          <w:b/>
          <w:bCs/>
          <w:sz w:val="20"/>
          <w:szCs w:val="20"/>
        </w:rPr>
      </w:pPr>
    </w:p>
    <w:p w:rsidR="00FC3533" w:rsidRPr="00FC3533" w:rsidRDefault="00FC3533" w:rsidP="00FC3533">
      <w:pPr>
        <w:tabs>
          <w:tab w:val="left" w:pos="1455"/>
        </w:tabs>
        <w:spacing w:after="0" w:line="240" w:lineRule="auto"/>
        <w:jc w:val="center"/>
        <w:rPr>
          <w:rFonts w:ascii="Arial" w:hAnsi="Arial" w:cs="Arial"/>
          <w:sz w:val="20"/>
          <w:szCs w:val="20"/>
        </w:rPr>
      </w:pPr>
      <w:r w:rsidRPr="00FC3533">
        <w:rPr>
          <w:rFonts w:ascii="Arial" w:hAnsi="Arial" w:cs="Arial"/>
          <w:noProof/>
          <w:sz w:val="20"/>
          <w:szCs w:val="20"/>
          <w:lang w:eastAsia="fr-FR"/>
        </w:rPr>
        <w:drawing>
          <wp:inline distT="0" distB="0" distL="0" distR="0" wp14:anchorId="69572122" wp14:editId="4E9EF303">
            <wp:extent cx="2638654" cy="2786332"/>
            <wp:effectExtent l="19050" t="19050" r="9525" b="14605"/>
            <wp:docPr id="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649914" cy="2798223"/>
                    </a:xfrm>
                    <a:prstGeom prst="rect">
                      <a:avLst/>
                    </a:prstGeom>
                    <a:ln>
                      <a:solidFill>
                        <a:schemeClr val="tx1"/>
                      </a:solidFill>
                    </a:ln>
                  </pic:spPr>
                </pic:pic>
              </a:graphicData>
            </a:graphic>
          </wp:inline>
        </w:drawing>
      </w:r>
      <w:bookmarkStart w:id="0" w:name="_GoBack"/>
      <w:bookmarkEnd w:id="0"/>
    </w:p>
    <w:p w:rsidR="00FC3533" w:rsidRPr="00FC3533" w:rsidRDefault="00FC3533" w:rsidP="00FC3533">
      <w:pPr>
        <w:tabs>
          <w:tab w:val="left" w:pos="1455"/>
        </w:tabs>
        <w:spacing w:after="0" w:line="240" w:lineRule="auto"/>
        <w:rPr>
          <w:rFonts w:ascii="Arial" w:hAnsi="Arial" w:cs="Arial"/>
          <w:sz w:val="20"/>
          <w:szCs w:val="20"/>
        </w:rPr>
      </w:pPr>
    </w:p>
    <w:p w:rsidR="00FC3533" w:rsidRPr="00FC3533" w:rsidRDefault="00FC3533" w:rsidP="00FC3533">
      <w:pPr>
        <w:spacing w:after="0" w:line="240" w:lineRule="auto"/>
        <w:rPr>
          <w:rFonts w:ascii="Arial" w:hAnsi="Arial" w:cs="Arial"/>
          <w:sz w:val="20"/>
          <w:szCs w:val="20"/>
        </w:rPr>
      </w:pPr>
    </w:p>
    <w:p w:rsidR="00FC3533" w:rsidRPr="00FC3533" w:rsidRDefault="00FC3533" w:rsidP="00BF7156">
      <w:pPr>
        <w:spacing w:after="0" w:line="240" w:lineRule="auto"/>
        <w:jc w:val="both"/>
        <w:rPr>
          <w:rFonts w:ascii="Arial" w:hAnsi="Arial" w:cs="Arial"/>
          <w:sz w:val="20"/>
          <w:szCs w:val="20"/>
        </w:rPr>
      </w:pPr>
      <w:r w:rsidRPr="00FC3533">
        <w:rPr>
          <w:rFonts w:ascii="Arial" w:hAnsi="Arial" w:cs="Arial"/>
          <w:sz w:val="20"/>
          <w:szCs w:val="20"/>
        </w:rPr>
        <w:t xml:space="preserve">Crick a proposé que différents codons puissent s’apparier avec le même anticodon, en raison d’un certain </w:t>
      </w:r>
      <w:r w:rsidRPr="00FC3533">
        <w:rPr>
          <w:rFonts w:ascii="Arial" w:hAnsi="Arial" w:cs="Arial"/>
          <w:b/>
          <w:bCs/>
          <w:sz w:val="20"/>
          <w:szCs w:val="20"/>
        </w:rPr>
        <w:t xml:space="preserve">flottement </w:t>
      </w:r>
      <w:r w:rsidRPr="00FC3533">
        <w:rPr>
          <w:rFonts w:ascii="Arial" w:hAnsi="Arial" w:cs="Arial"/>
          <w:sz w:val="20"/>
          <w:szCs w:val="20"/>
        </w:rPr>
        <w:t>(« </w:t>
      </w:r>
      <w:proofErr w:type="spellStart"/>
      <w:r w:rsidRPr="00FC3533">
        <w:rPr>
          <w:rFonts w:ascii="Arial" w:hAnsi="Arial" w:cs="Arial"/>
          <w:sz w:val="20"/>
          <w:szCs w:val="20"/>
        </w:rPr>
        <w:t>wobble</w:t>
      </w:r>
      <w:proofErr w:type="spellEnd"/>
      <w:r w:rsidRPr="00FC3533">
        <w:rPr>
          <w:rFonts w:ascii="Arial" w:hAnsi="Arial" w:cs="Arial"/>
          <w:sz w:val="20"/>
          <w:szCs w:val="20"/>
        </w:rPr>
        <w:t> ») dans l’appariement des bases à la 3° position du codon</w:t>
      </w:r>
      <w:r w:rsidR="004F0622">
        <w:rPr>
          <w:rFonts w:ascii="Arial" w:hAnsi="Arial" w:cs="Arial"/>
          <w:sz w:val="20"/>
          <w:szCs w:val="20"/>
        </w:rPr>
        <w:t>.</w:t>
      </w:r>
    </w:p>
    <w:p w:rsidR="00FC3533" w:rsidRPr="00FC3533" w:rsidRDefault="00FC3533" w:rsidP="00FC3533">
      <w:pPr>
        <w:spacing w:after="0" w:line="240" w:lineRule="auto"/>
        <w:rPr>
          <w:rFonts w:ascii="Arial" w:hAnsi="Arial" w:cs="Arial"/>
          <w:sz w:val="20"/>
          <w:szCs w:val="20"/>
        </w:rPr>
      </w:pPr>
    </w:p>
    <w:p w:rsidR="00FC3533" w:rsidRPr="00FC3533" w:rsidRDefault="00FC3533" w:rsidP="00FC3533">
      <w:pPr>
        <w:spacing w:after="0" w:line="240" w:lineRule="auto"/>
        <w:jc w:val="center"/>
        <w:rPr>
          <w:rFonts w:ascii="Arial" w:hAnsi="Arial" w:cs="Arial"/>
          <w:sz w:val="20"/>
          <w:szCs w:val="20"/>
        </w:rPr>
      </w:pPr>
      <w:r w:rsidRPr="00FC3533">
        <w:rPr>
          <w:rFonts w:ascii="Arial" w:hAnsi="Arial" w:cs="Arial"/>
          <w:noProof/>
          <w:sz w:val="20"/>
          <w:szCs w:val="20"/>
          <w:lang w:eastAsia="fr-FR"/>
        </w:rPr>
        <w:drawing>
          <wp:inline distT="0" distB="0" distL="0" distR="0" wp14:anchorId="42DDA157" wp14:editId="4B836BFC">
            <wp:extent cx="3329797" cy="1890523"/>
            <wp:effectExtent l="19050" t="19050" r="23495" b="14605"/>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340392" cy="1896538"/>
                    </a:xfrm>
                    <a:prstGeom prst="rect">
                      <a:avLst/>
                    </a:prstGeom>
                    <a:ln>
                      <a:solidFill>
                        <a:schemeClr val="tx1"/>
                      </a:solidFill>
                    </a:ln>
                  </pic:spPr>
                </pic:pic>
              </a:graphicData>
            </a:graphic>
          </wp:inline>
        </w:drawing>
      </w:r>
    </w:p>
    <w:p w:rsidR="00FC3533" w:rsidRPr="00FC3533" w:rsidRDefault="00FC3533" w:rsidP="00FC3533">
      <w:pPr>
        <w:spacing w:after="0" w:line="240" w:lineRule="auto"/>
        <w:rPr>
          <w:rFonts w:ascii="Arial" w:hAnsi="Arial" w:cs="Arial"/>
          <w:sz w:val="20"/>
          <w:szCs w:val="20"/>
        </w:rPr>
      </w:pPr>
    </w:p>
    <w:p w:rsidR="00FC3533" w:rsidRDefault="00FC3533" w:rsidP="00D075BA">
      <w:pPr>
        <w:spacing w:after="0" w:line="240" w:lineRule="auto"/>
        <w:jc w:val="both"/>
        <w:rPr>
          <w:rFonts w:ascii="Arial" w:hAnsi="Arial" w:cs="Arial"/>
          <w:sz w:val="20"/>
          <w:szCs w:val="20"/>
        </w:rPr>
      </w:pPr>
      <w:r w:rsidRPr="00FC3533">
        <w:rPr>
          <w:rFonts w:ascii="Arial" w:hAnsi="Arial" w:cs="Arial"/>
          <w:sz w:val="20"/>
          <w:szCs w:val="20"/>
        </w:rPr>
        <w:t>De nombreux codons synonymes ne diffèrent que par la base en 3° position. Exemple : Ala est codée par 4 codons qui commencent par GC. Quand le codon dans l’ARNm s’apparie avec l’anticodon de l’</w:t>
      </w:r>
      <w:proofErr w:type="spellStart"/>
      <w:r w:rsidRPr="00FC3533">
        <w:rPr>
          <w:rFonts w:ascii="Arial" w:hAnsi="Arial" w:cs="Arial"/>
          <w:sz w:val="20"/>
          <w:szCs w:val="20"/>
        </w:rPr>
        <w:t>ARNt</w:t>
      </w:r>
      <w:proofErr w:type="spellEnd"/>
      <w:r w:rsidRPr="00FC3533">
        <w:rPr>
          <w:rFonts w:ascii="Arial" w:hAnsi="Arial" w:cs="Arial"/>
          <w:sz w:val="20"/>
          <w:szCs w:val="20"/>
        </w:rPr>
        <w:t>, la 1</w:t>
      </w:r>
      <w:r w:rsidRPr="00FC3533">
        <w:rPr>
          <w:rFonts w:ascii="Arial" w:hAnsi="Arial" w:cs="Arial"/>
          <w:sz w:val="20"/>
          <w:szCs w:val="20"/>
          <w:vertAlign w:val="superscript"/>
        </w:rPr>
        <w:t>ère</w:t>
      </w:r>
      <w:r w:rsidRPr="00FC3533">
        <w:rPr>
          <w:rFonts w:ascii="Arial" w:hAnsi="Arial" w:cs="Arial"/>
          <w:sz w:val="20"/>
          <w:szCs w:val="20"/>
        </w:rPr>
        <w:t xml:space="preserve"> base (5’) du codon s’apparie avec la 3° base (3’) de l’anticodon, strictement selon les règles de Watson et Crick : A avec U, C avec G. Ensuite, les bases du milieu du codon et de l’anticodon s’apparient aussi strictement selon les règles. Après que ces paires de bases aient formé des liaisons hydrogène, les 3° bases ne s’alignent pas parfaitement, ce qui provoque le flottement (les contraintes structurales ne permettent que des ajustements conformationnels limités. Ainsi, C ou A en 3° position (5’) de l’anticodon exigent un appariement strict. Par contre, U ou G permettent l’appariement avec deux codons différents)</w:t>
      </w:r>
      <w:r w:rsidR="00270E43">
        <w:rPr>
          <w:rFonts w:ascii="Arial" w:hAnsi="Arial" w:cs="Arial"/>
          <w:sz w:val="20"/>
          <w:szCs w:val="20"/>
        </w:rPr>
        <w:t>.</w:t>
      </w:r>
    </w:p>
    <w:p w:rsidR="00D075BA" w:rsidRPr="00D075BA" w:rsidRDefault="00D075BA" w:rsidP="00D075BA">
      <w:pPr>
        <w:spacing w:after="0" w:line="240" w:lineRule="auto"/>
        <w:jc w:val="both"/>
        <w:rPr>
          <w:rFonts w:ascii="Arial" w:hAnsi="Arial" w:cs="Arial"/>
          <w:sz w:val="20"/>
          <w:szCs w:val="20"/>
        </w:rPr>
      </w:pPr>
    </w:p>
    <w:p w:rsidR="00FC3533" w:rsidRPr="00270E43" w:rsidRDefault="00FC3533" w:rsidP="00270E43">
      <w:pPr>
        <w:pStyle w:val="Paragraphedeliste"/>
        <w:numPr>
          <w:ilvl w:val="0"/>
          <w:numId w:val="4"/>
        </w:numPr>
        <w:spacing w:after="0" w:line="240" w:lineRule="auto"/>
        <w:jc w:val="both"/>
        <w:rPr>
          <w:rFonts w:ascii="Arial" w:hAnsi="Arial" w:cs="Arial"/>
          <w:sz w:val="20"/>
          <w:szCs w:val="20"/>
        </w:rPr>
      </w:pPr>
      <w:r w:rsidRPr="00270E43">
        <w:rPr>
          <w:rFonts w:ascii="Arial" w:hAnsi="Arial" w:cs="Arial"/>
          <w:b/>
          <w:bCs/>
          <w:sz w:val="20"/>
          <w:szCs w:val="20"/>
        </w:rPr>
        <w:t>Le cadre de lecture et les codons d’initiation</w:t>
      </w:r>
    </w:p>
    <w:p w:rsidR="004F0622" w:rsidRDefault="00FC3533" w:rsidP="00FC3533">
      <w:pPr>
        <w:spacing w:after="0" w:line="240" w:lineRule="auto"/>
        <w:jc w:val="both"/>
        <w:rPr>
          <w:rFonts w:ascii="Arial" w:hAnsi="Arial" w:cs="Arial"/>
          <w:sz w:val="20"/>
          <w:szCs w:val="20"/>
        </w:rPr>
      </w:pPr>
      <w:r w:rsidRPr="00FC3533">
        <w:rPr>
          <w:rFonts w:ascii="Arial" w:hAnsi="Arial" w:cs="Arial"/>
          <w:sz w:val="20"/>
          <w:szCs w:val="20"/>
        </w:rPr>
        <w:t>Le code est généralement non chevauchant. Chaque nucléotide ne participe normalement qu’à un seul codon.</w:t>
      </w:r>
      <w:r w:rsidR="004F0622">
        <w:rPr>
          <w:rFonts w:ascii="Arial" w:hAnsi="Arial" w:cs="Arial"/>
          <w:sz w:val="20"/>
          <w:szCs w:val="20"/>
        </w:rPr>
        <w:t xml:space="preserve"> </w:t>
      </w:r>
      <w:r w:rsidRPr="00FC3533">
        <w:rPr>
          <w:rFonts w:ascii="Arial" w:hAnsi="Arial" w:cs="Arial"/>
          <w:sz w:val="20"/>
          <w:szCs w:val="20"/>
        </w:rPr>
        <w:t xml:space="preserve">Chaque séquence de nucléotides peut être lue de trois façons différentes, selon le cadre de lecture qui est appliqué. Le système de traduction doit utiliser le cadre de lecture correct déterminé par le </w:t>
      </w:r>
      <w:r w:rsidRPr="00FC3533">
        <w:rPr>
          <w:rFonts w:ascii="Arial" w:hAnsi="Arial" w:cs="Arial"/>
          <w:b/>
          <w:bCs/>
          <w:sz w:val="20"/>
          <w:szCs w:val="20"/>
        </w:rPr>
        <w:t>codon d’initiation</w:t>
      </w:r>
      <w:r w:rsidRPr="00FC3533">
        <w:rPr>
          <w:rFonts w:ascii="Arial" w:hAnsi="Arial" w:cs="Arial"/>
          <w:sz w:val="20"/>
          <w:szCs w:val="20"/>
        </w:rPr>
        <w:t xml:space="preserve">, le premier codon dans l’ARNm qui spécifie un acide aminé. </w:t>
      </w:r>
    </w:p>
    <w:p w:rsidR="00FC3533" w:rsidRPr="00FC3533" w:rsidRDefault="00FC3533" w:rsidP="00FC3533">
      <w:pPr>
        <w:spacing w:after="0" w:line="240" w:lineRule="auto"/>
        <w:jc w:val="both"/>
        <w:rPr>
          <w:rFonts w:ascii="Arial" w:hAnsi="Arial" w:cs="Arial"/>
          <w:sz w:val="20"/>
          <w:szCs w:val="20"/>
        </w:rPr>
      </w:pPr>
      <w:r w:rsidRPr="00FC3533">
        <w:rPr>
          <w:rFonts w:ascii="Arial" w:hAnsi="Arial" w:cs="Arial"/>
          <w:sz w:val="20"/>
          <w:szCs w:val="20"/>
        </w:rPr>
        <w:t xml:space="preserve">Le </w:t>
      </w:r>
      <w:r w:rsidRPr="00FC3533">
        <w:rPr>
          <w:rFonts w:ascii="Arial" w:hAnsi="Arial" w:cs="Arial"/>
          <w:b/>
          <w:bCs/>
          <w:sz w:val="20"/>
          <w:szCs w:val="20"/>
        </w:rPr>
        <w:t xml:space="preserve">codon d’initiation </w:t>
      </w:r>
      <w:r w:rsidRPr="00FC3533">
        <w:rPr>
          <w:rFonts w:ascii="Arial" w:hAnsi="Arial" w:cs="Arial"/>
          <w:sz w:val="20"/>
          <w:szCs w:val="20"/>
        </w:rPr>
        <w:t xml:space="preserve">est généralement </w:t>
      </w:r>
      <w:r w:rsidRPr="00FC3533">
        <w:rPr>
          <w:rFonts w:ascii="Arial" w:hAnsi="Arial" w:cs="Arial"/>
          <w:b/>
          <w:bCs/>
          <w:sz w:val="20"/>
          <w:szCs w:val="20"/>
        </w:rPr>
        <w:t>AUG</w:t>
      </w:r>
      <w:r w:rsidRPr="00FC3533">
        <w:rPr>
          <w:rFonts w:ascii="Arial" w:hAnsi="Arial" w:cs="Arial"/>
          <w:sz w:val="20"/>
          <w:szCs w:val="20"/>
        </w:rPr>
        <w:t xml:space="preserve"> </w:t>
      </w:r>
      <w:r w:rsidR="00BF7156">
        <w:rPr>
          <w:rFonts w:ascii="Arial" w:hAnsi="Arial" w:cs="Arial"/>
          <w:sz w:val="20"/>
          <w:szCs w:val="20"/>
        </w:rPr>
        <w:t>(</w:t>
      </w:r>
      <w:r w:rsidRPr="00FC3533">
        <w:rPr>
          <w:rFonts w:ascii="Arial" w:hAnsi="Arial" w:cs="Arial"/>
          <w:sz w:val="20"/>
          <w:szCs w:val="20"/>
        </w:rPr>
        <w:t>bien que GUG et UUG soient parfois utilisés</w:t>
      </w:r>
      <w:r w:rsidR="00BF7156">
        <w:rPr>
          <w:rFonts w:ascii="Arial" w:hAnsi="Arial" w:cs="Arial"/>
          <w:sz w:val="20"/>
          <w:szCs w:val="20"/>
        </w:rPr>
        <w:t>)</w:t>
      </w:r>
      <w:r w:rsidRPr="00FC3533">
        <w:rPr>
          <w:rFonts w:ascii="Arial" w:hAnsi="Arial" w:cs="Arial"/>
          <w:sz w:val="20"/>
          <w:szCs w:val="20"/>
        </w:rPr>
        <w:t xml:space="preserve">. Le codon d’initiation n’est pas simplement un signal de début de traduction, mais il spécifie un acide aminé. AUG spécifie une </w:t>
      </w:r>
      <w:r w:rsidR="00BF7156" w:rsidRPr="00FC3533">
        <w:rPr>
          <w:rFonts w:ascii="Arial" w:hAnsi="Arial" w:cs="Arial"/>
          <w:sz w:val="20"/>
          <w:szCs w:val="20"/>
        </w:rPr>
        <w:t>Méthionine</w:t>
      </w:r>
      <w:r w:rsidRPr="00FC3533">
        <w:rPr>
          <w:rFonts w:ascii="Arial" w:hAnsi="Arial" w:cs="Arial"/>
          <w:sz w:val="20"/>
          <w:szCs w:val="20"/>
        </w:rPr>
        <w:t xml:space="preserve"> (Met) mais quand il se trouve en position d’initiation</w:t>
      </w:r>
    </w:p>
    <w:p w:rsidR="00FC3533" w:rsidRPr="00FC3533" w:rsidRDefault="00FC3533" w:rsidP="00FC3533">
      <w:pPr>
        <w:spacing w:after="0" w:line="240" w:lineRule="auto"/>
        <w:jc w:val="both"/>
        <w:rPr>
          <w:rFonts w:ascii="Arial" w:hAnsi="Arial" w:cs="Arial"/>
          <w:sz w:val="20"/>
          <w:szCs w:val="20"/>
        </w:rPr>
      </w:pPr>
    </w:p>
    <w:p w:rsidR="00FC3533" w:rsidRPr="004F0622" w:rsidRDefault="00FC3533" w:rsidP="004F0622">
      <w:pPr>
        <w:pStyle w:val="Paragraphedeliste"/>
        <w:numPr>
          <w:ilvl w:val="0"/>
          <w:numId w:val="4"/>
        </w:numPr>
        <w:spacing w:after="0" w:line="240" w:lineRule="auto"/>
        <w:jc w:val="both"/>
        <w:rPr>
          <w:rFonts w:ascii="Arial" w:hAnsi="Arial" w:cs="Arial"/>
          <w:sz w:val="20"/>
          <w:szCs w:val="20"/>
        </w:rPr>
      </w:pPr>
      <w:r w:rsidRPr="004F0622">
        <w:rPr>
          <w:rFonts w:ascii="Arial" w:hAnsi="Arial" w:cs="Arial"/>
          <w:b/>
          <w:bCs/>
          <w:sz w:val="20"/>
          <w:szCs w:val="20"/>
        </w:rPr>
        <w:t>Les codons de terminaison</w:t>
      </w:r>
    </w:p>
    <w:p w:rsidR="00FC3533" w:rsidRPr="00FC3533" w:rsidRDefault="00FC3533" w:rsidP="00FC3533">
      <w:pPr>
        <w:spacing w:after="0" w:line="240" w:lineRule="auto"/>
        <w:jc w:val="both"/>
        <w:rPr>
          <w:rFonts w:ascii="Arial" w:hAnsi="Arial" w:cs="Arial"/>
          <w:sz w:val="20"/>
          <w:szCs w:val="20"/>
        </w:rPr>
      </w:pPr>
      <w:r w:rsidRPr="00FC3533">
        <w:rPr>
          <w:rFonts w:ascii="Arial" w:hAnsi="Arial" w:cs="Arial"/>
          <w:sz w:val="20"/>
          <w:szCs w:val="20"/>
        </w:rPr>
        <w:t xml:space="preserve">3 codons –UAA, UAG et UGA – ne spécifient pas d’acide aminé. Ces codons signalent la fin d’une protéine. On les appelle </w:t>
      </w:r>
      <w:r w:rsidRPr="00FC3533">
        <w:rPr>
          <w:rFonts w:ascii="Arial" w:hAnsi="Arial" w:cs="Arial"/>
          <w:b/>
          <w:bCs/>
          <w:sz w:val="20"/>
          <w:szCs w:val="20"/>
        </w:rPr>
        <w:t>codons stop</w:t>
      </w:r>
      <w:r w:rsidRPr="00FC3533">
        <w:rPr>
          <w:rFonts w:ascii="Arial" w:hAnsi="Arial" w:cs="Arial"/>
          <w:sz w:val="20"/>
          <w:szCs w:val="20"/>
        </w:rPr>
        <w:t xml:space="preserve">, </w:t>
      </w:r>
      <w:r w:rsidRPr="00FC3533">
        <w:rPr>
          <w:rFonts w:ascii="Arial" w:hAnsi="Arial" w:cs="Arial"/>
          <w:b/>
          <w:bCs/>
          <w:sz w:val="20"/>
          <w:szCs w:val="20"/>
        </w:rPr>
        <w:t xml:space="preserve">codons de terminaison </w:t>
      </w:r>
      <w:r w:rsidRPr="00FC3533">
        <w:rPr>
          <w:rFonts w:ascii="Arial" w:hAnsi="Arial" w:cs="Arial"/>
          <w:sz w:val="20"/>
          <w:szCs w:val="20"/>
        </w:rPr>
        <w:t xml:space="preserve">ou </w:t>
      </w:r>
      <w:r w:rsidRPr="00FC3533">
        <w:rPr>
          <w:rFonts w:ascii="Arial" w:hAnsi="Arial" w:cs="Arial"/>
          <w:b/>
          <w:bCs/>
          <w:sz w:val="20"/>
          <w:szCs w:val="20"/>
        </w:rPr>
        <w:t>codons non-sens</w:t>
      </w:r>
      <w:r w:rsidRPr="00FC3533">
        <w:rPr>
          <w:rFonts w:ascii="Arial" w:hAnsi="Arial" w:cs="Arial"/>
          <w:sz w:val="20"/>
          <w:szCs w:val="20"/>
        </w:rPr>
        <w:t>. Il n’existe pas d’</w:t>
      </w:r>
      <w:proofErr w:type="spellStart"/>
      <w:r w:rsidRPr="00FC3533">
        <w:rPr>
          <w:rFonts w:ascii="Arial" w:hAnsi="Arial" w:cs="Arial"/>
          <w:sz w:val="20"/>
          <w:szCs w:val="20"/>
        </w:rPr>
        <w:t>ARNt</w:t>
      </w:r>
      <w:proofErr w:type="spellEnd"/>
      <w:r w:rsidRPr="00FC3533">
        <w:rPr>
          <w:rFonts w:ascii="Arial" w:hAnsi="Arial" w:cs="Arial"/>
          <w:sz w:val="20"/>
          <w:szCs w:val="20"/>
        </w:rPr>
        <w:t xml:space="preserve"> dont l’anticodon s’apparie avec un codon de terminaison</w:t>
      </w:r>
    </w:p>
    <w:p w:rsidR="00270E43" w:rsidRDefault="00270E43" w:rsidP="00FC3533">
      <w:pPr>
        <w:spacing w:after="0" w:line="240" w:lineRule="auto"/>
        <w:rPr>
          <w:rFonts w:ascii="Arial" w:hAnsi="Arial" w:cs="Arial"/>
          <w:sz w:val="20"/>
          <w:szCs w:val="20"/>
        </w:rPr>
      </w:pPr>
    </w:p>
    <w:p w:rsidR="00FC3533" w:rsidRPr="00270E43" w:rsidRDefault="00FC3533" w:rsidP="00270E43">
      <w:pPr>
        <w:pStyle w:val="Paragraphedeliste"/>
        <w:numPr>
          <w:ilvl w:val="0"/>
          <w:numId w:val="4"/>
        </w:numPr>
        <w:spacing w:after="0" w:line="240" w:lineRule="auto"/>
        <w:rPr>
          <w:rFonts w:ascii="Arial" w:hAnsi="Arial" w:cs="Arial"/>
          <w:sz w:val="20"/>
          <w:szCs w:val="20"/>
        </w:rPr>
      </w:pPr>
      <w:r w:rsidRPr="00270E43">
        <w:rPr>
          <w:rFonts w:ascii="Arial" w:hAnsi="Arial" w:cs="Arial"/>
          <w:b/>
          <w:bCs/>
          <w:sz w:val="20"/>
          <w:szCs w:val="20"/>
        </w:rPr>
        <w:t>L’universalité du code</w:t>
      </w:r>
    </w:p>
    <w:p w:rsidR="00FC3533" w:rsidRPr="00FC3533" w:rsidRDefault="00FC3533" w:rsidP="00270E43">
      <w:pPr>
        <w:spacing w:after="0" w:line="240" w:lineRule="auto"/>
        <w:jc w:val="both"/>
        <w:rPr>
          <w:rFonts w:ascii="Arial" w:hAnsi="Arial" w:cs="Arial"/>
          <w:sz w:val="20"/>
          <w:szCs w:val="20"/>
        </w:rPr>
      </w:pPr>
      <w:r w:rsidRPr="00FC3533">
        <w:rPr>
          <w:rFonts w:ascii="Arial" w:hAnsi="Arial" w:cs="Arial"/>
          <w:sz w:val="20"/>
          <w:szCs w:val="20"/>
        </w:rPr>
        <w:t>Nous savons à présent que le code génétique n’est pas tout à fait universel et qu’il existe quelques exceptions qui concernent des codons de terminaison mais il existe quelque</w:t>
      </w:r>
      <w:r w:rsidR="00270E43">
        <w:rPr>
          <w:rFonts w:ascii="Arial" w:hAnsi="Arial" w:cs="Arial"/>
          <w:sz w:val="20"/>
          <w:szCs w:val="20"/>
        </w:rPr>
        <w:t>s</w:t>
      </w:r>
      <w:r w:rsidRPr="00FC3533">
        <w:rPr>
          <w:rFonts w:ascii="Arial" w:hAnsi="Arial" w:cs="Arial"/>
          <w:sz w:val="20"/>
          <w:szCs w:val="20"/>
        </w:rPr>
        <w:t xml:space="preserve"> cas de substitutions de codons sens, surtout dans les gènes mitochondriaux. </w:t>
      </w:r>
    </w:p>
    <w:p w:rsidR="00FC3533" w:rsidRPr="00FC3533" w:rsidRDefault="00FC3533" w:rsidP="00FC3533">
      <w:pPr>
        <w:spacing w:after="0" w:line="240" w:lineRule="auto"/>
        <w:rPr>
          <w:rFonts w:ascii="Arial" w:hAnsi="Arial" w:cs="Arial"/>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p w:rsidR="00270E43" w:rsidRDefault="00270E43" w:rsidP="00FC3533">
      <w:pPr>
        <w:spacing w:after="0" w:line="240" w:lineRule="auto"/>
        <w:jc w:val="both"/>
        <w:rPr>
          <w:rFonts w:ascii="Arial" w:hAnsi="Arial" w:cs="Arial"/>
          <w:b/>
          <w:bCs/>
          <w:sz w:val="20"/>
          <w:szCs w:val="20"/>
        </w:rPr>
      </w:pPr>
    </w:p>
    <w:sectPr w:rsidR="00270E43" w:rsidSect="00170D0E">
      <w:headerReference w:type="default" r:id="rId12"/>
      <w:footerReference w:type="default" r:id="rId13"/>
      <w:pgSz w:w="11906" w:h="16838"/>
      <w:pgMar w:top="426" w:right="566"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BC3" w:rsidRDefault="00604BC3" w:rsidP="00D075BA">
      <w:pPr>
        <w:spacing w:after="0" w:line="240" w:lineRule="auto"/>
      </w:pPr>
      <w:r>
        <w:separator/>
      </w:r>
    </w:p>
  </w:endnote>
  <w:endnote w:type="continuationSeparator" w:id="0">
    <w:p w:rsidR="00604BC3" w:rsidRDefault="00604BC3" w:rsidP="00D0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5BA" w:rsidRPr="009C6EA6" w:rsidRDefault="00D075BA" w:rsidP="00D075BA">
    <w:pPr>
      <w:pStyle w:val="Pieddepage"/>
      <w:jc w:val="right"/>
      <w:rPr>
        <w:rFonts w:asciiTheme="minorBidi" w:hAnsiTheme="minorBidi"/>
        <w:sz w:val="16"/>
        <w:szCs w:val="16"/>
      </w:rPr>
    </w:pPr>
    <w:r>
      <w:rPr>
        <w:rFonts w:asciiTheme="minorBidi" w:hAnsiTheme="minorBidi"/>
        <w:sz w:val="16"/>
        <w:szCs w:val="16"/>
      </w:rPr>
      <w:t>Dr</w:t>
    </w:r>
    <w:r w:rsidRPr="009C6EA6">
      <w:rPr>
        <w:rFonts w:asciiTheme="minorBidi" w:hAnsiTheme="minorBidi"/>
        <w:sz w:val="16"/>
        <w:szCs w:val="16"/>
      </w:rPr>
      <w:t xml:space="preserve">. BECHKRI </w:t>
    </w:r>
    <w:r>
      <w:rPr>
        <w:rFonts w:asciiTheme="minorBidi" w:hAnsiTheme="minorBidi"/>
        <w:sz w:val="16"/>
        <w:szCs w:val="16"/>
      </w:rPr>
      <w:t>S. et Dr</w:t>
    </w:r>
    <w:r w:rsidRPr="009C6EA6">
      <w:rPr>
        <w:rFonts w:asciiTheme="minorBidi" w:hAnsiTheme="minorBidi"/>
        <w:sz w:val="16"/>
        <w:szCs w:val="16"/>
      </w:rPr>
      <w:t>. SEDRATI</w:t>
    </w:r>
    <w:r>
      <w:rPr>
        <w:rFonts w:asciiTheme="minorBidi" w:hAnsiTheme="minorBidi"/>
        <w:sz w:val="16"/>
        <w:szCs w:val="16"/>
      </w:rPr>
      <w:t xml:space="preserve"> K.</w:t>
    </w:r>
  </w:p>
  <w:p w:rsidR="00D075BA" w:rsidRPr="009C6EA6" w:rsidRDefault="00D075BA" w:rsidP="00D075BA">
    <w:pPr>
      <w:pStyle w:val="Pieddepage"/>
      <w:rPr>
        <w:rFonts w:asciiTheme="minorBidi" w:hAnsiTheme="minorBidi"/>
        <w:sz w:val="16"/>
        <w:szCs w:val="16"/>
      </w:rPr>
    </w:pPr>
    <w:r>
      <w:rPr>
        <w:rFonts w:asciiTheme="minorBidi" w:hAnsiTheme="minorBidi"/>
        <w:sz w:val="16"/>
        <w:szCs w:val="16"/>
      </w:rPr>
      <w:t xml:space="preserve">                                                                                                   Faculté des sciences de la nature et de la vie - </w:t>
    </w:r>
    <w:r w:rsidRPr="009C6EA6">
      <w:rPr>
        <w:rFonts w:asciiTheme="minorBidi" w:hAnsiTheme="minorBidi"/>
        <w:sz w:val="16"/>
        <w:szCs w:val="16"/>
      </w:rPr>
      <w:t>Université Frères MENTOURI Constantine</w:t>
    </w:r>
  </w:p>
  <w:p w:rsidR="00D075BA" w:rsidRDefault="00D075B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BC3" w:rsidRDefault="00604BC3" w:rsidP="00D075BA">
      <w:pPr>
        <w:spacing w:after="0" w:line="240" w:lineRule="auto"/>
      </w:pPr>
      <w:r>
        <w:separator/>
      </w:r>
    </w:p>
  </w:footnote>
  <w:footnote w:type="continuationSeparator" w:id="0">
    <w:p w:rsidR="00604BC3" w:rsidRDefault="00604BC3" w:rsidP="00D075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D68" w:rsidRDefault="00416D68" w:rsidP="00DB0887">
    <w:pPr>
      <w:pStyle w:val="En-tte"/>
    </w:pPr>
    <w:r>
      <w:ptab w:relativeTo="margin" w:alignment="center" w:leader="none"/>
    </w:r>
    <w:r>
      <w:rPr>
        <w:rFonts w:ascii="Arial" w:hAnsi="Arial" w:cs="Arial"/>
        <w:b/>
        <w:bCs/>
      </w:rPr>
      <w:t>V</w:t>
    </w:r>
    <w:r w:rsidRPr="00FC3533">
      <w:rPr>
        <w:rFonts w:ascii="Arial" w:hAnsi="Arial" w:cs="Arial"/>
        <w:b/>
        <w:bCs/>
      </w:rPr>
      <w:t>- L</w:t>
    </w:r>
    <w:r>
      <w:rPr>
        <w:rFonts w:ascii="Arial" w:hAnsi="Arial" w:cs="Arial"/>
        <w:b/>
        <w:bCs/>
      </w:rPr>
      <w:t>e</w:t>
    </w:r>
    <w:r w:rsidRPr="00FC3533">
      <w:rPr>
        <w:rFonts w:ascii="Arial" w:hAnsi="Arial" w:cs="Arial"/>
        <w:b/>
        <w:bCs/>
      </w:rPr>
      <w:t xml:space="preserve"> </w:t>
    </w:r>
    <w:r>
      <w:rPr>
        <w:rFonts w:ascii="Arial" w:hAnsi="Arial" w:cs="Arial"/>
        <w:b/>
        <w:bCs/>
      </w:rPr>
      <w:t>code génétique</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430"/>
    <w:multiLevelType w:val="hybridMultilevel"/>
    <w:tmpl w:val="C32AC730"/>
    <w:lvl w:ilvl="0" w:tplc="040C0001">
      <w:start w:val="1"/>
      <w:numFmt w:val="bullet"/>
      <w:lvlText w:val=""/>
      <w:lvlJc w:val="left"/>
      <w:pPr>
        <w:ind w:left="1630" w:hanging="360"/>
      </w:pPr>
      <w:rPr>
        <w:rFonts w:ascii="Symbol" w:hAnsi="Symbol" w:hint="default"/>
      </w:rPr>
    </w:lvl>
    <w:lvl w:ilvl="1" w:tplc="040C0003" w:tentative="1">
      <w:start w:val="1"/>
      <w:numFmt w:val="bullet"/>
      <w:lvlText w:val="o"/>
      <w:lvlJc w:val="left"/>
      <w:pPr>
        <w:ind w:left="2350" w:hanging="360"/>
      </w:pPr>
      <w:rPr>
        <w:rFonts w:ascii="Courier New" w:hAnsi="Courier New" w:cs="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cs="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cs="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1">
    <w:nsid w:val="0E783DC3"/>
    <w:multiLevelType w:val="multilevel"/>
    <w:tmpl w:val="32D6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964EF"/>
    <w:multiLevelType w:val="multilevel"/>
    <w:tmpl w:val="C75E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547676"/>
    <w:multiLevelType w:val="multilevel"/>
    <w:tmpl w:val="B18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74B46"/>
    <w:multiLevelType w:val="multilevel"/>
    <w:tmpl w:val="E832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564BF"/>
    <w:multiLevelType w:val="multilevel"/>
    <w:tmpl w:val="778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FB119C"/>
    <w:multiLevelType w:val="hybridMultilevel"/>
    <w:tmpl w:val="C4AC75C4"/>
    <w:lvl w:ilvl="0" w:tplc="825452E4">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903AE0"/>
    <w:multiLevelType w:val="hybridMultilevel"/>
    <w:tmpl w:val="55506026"/>
    <w:lvl w:ilvl="0" w:tplc="78B08B7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0C36AF"/>
    <w:multiLevelType w:val="hybridMultilevel"/>
    <w:tmpl w:val="F03A8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9D7605"/>
    <w:multiLevelType w:val="hybridMultilevel"/>
    <w:tmpl w:val="D408C6B4"/>
    <w:lvl w:ilvl="0" w:tplc="7C92622E">
      <w:start w:val="2"/>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FF39FB"/>
    <w:multiLevelType w:val="hybridMultilevel"/>
    <w:tmpl w:val="D2FE11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3295D35"/>
    <w:multiLevelType w:val="hybridMultilevel"/>
    <w:tmpl w:val="7A72E374"/>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7B3138A"/>
    <w:multiLevelType w:val="hybridMultilevel"/>
    <w:tmpl w:val="26025EAE"/>
    <w:lvl w:ilvl="0" w:tplc="3BE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7BA133C"/>
    <w:multiLevelType w:val="hybridMultilevel"/>
    <w:tmpl w:val="259C1E62"/>
    <w:lvl w:ilvl="0" w:tplc="DD5CC9E6">
      <w:start w:val="5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ABE47B3"/>
    <w:multiLevelType w:val="hybridMultilevel"/>
    <w:tmpl w:val="B9160F48"/>
    <w:lvl w:ilvl="0" w:tplc="9534739E">
      <w:start w:val="1"/>
      <w:numFmt w:val="bullet"/>
      <w:lvlText w:val="-"/>
      <w:lvlJc w:val="left"/>
      <w:pPr>
        <w:tabs>
          <w:tab w:val="num" w:pos="720"/>
        </w:tabs>
        <w:ind w:left="720" w:hanging="360"/>
      </w:pPr>
      <w:rPr>
        <w:rFonts w:ascii="Times New Roman" w:hAnsi="Times New Roman" w:hint="default"/>
      </w:rPr>
    </w:lvl>
    <w:lvl w:ilvl="1" w:tplc="06B6C440" w:tentative="1">
      <w:start w:val="1"/>
      <w:numFmt w:val="bullet"/>
      <w:lvlText w:val="-"/>
      <w:lvlJc w:val="left"/>
      <w:pPr>
        <w:tabs>
          <w:tab w:val="num" w:pos="1440"/>
        </w:tabs>
        <w:ind w:left="1440" w:hanging="360"/>
      </w:pPr>
      <w:rPr>
        <w:rFonts w:ascii="Times New Roman" w:hAnsi="Times New Roman" w:hint="default"/>
      </w:rPr>
    </w:lvl>
    <w:lvl w:ilvl="2" w:tplc="860632C2" w:tentative="1">
      <w:start w:val="1"/>
      <w:numFmt w:val="bullet"/>
      <w:lvlText w:val="-"/>
      <w:lvlJc w:val="left"/>
      <w:pPr>
        <w:tabs>
          <w:tab w:val="num" w:pos="2160"/>
        </w:tabs>
        <w:ind w:left="2160" w:hanging="360"/>
      </w:pPr>
      <w:rPr>
        <w:rFonts w:ascii="Times New Roman" w:hAnsi="Times New Roman" w:hint="default"/>
      </w:rPr>
    </w:lvl>
    <w:lvl w:ilvl="3" w:tplc="AECE9962" w:tentative="1">
      <w:start w:val="1"/>
      <w:numFmt w:val="bullet"/>
      <w:lvlText w:val="-"/>
      <w:lvlJc w:val="left"/>
      <w:pPr>
        <w:tabs>
          <w:tab w:val="num" w:pos="2880"/>
        </w:tabs>
        <w:ind w:left="2880" w:hanging="360"/>
      </w:pPr>
      <w:rPr>
        <w:rFonts w:ascii="Times New Roman" w:hAnsi="Times New Roman" w:hint="default"/>
      </w:rPr>
    </w:lvl>
    <w:lvl w:ilvl="4" w:tplc="DC88CBDC" w:tentative="1">
      <w:start w:val="1"/>
      <w:numFmt w:val="bullet"/>
      <w:lvlText w:val="-"/>
      <w:lvlJc w:val="left"/>
      <w:pPr>
        <w:tabs>
          <w:tab w:val="num" w:pos="3600"/>
        </w:tabs>
        <w:ind w:left="3600" w:hanging="360"/>
      </w:pPr>
      <w:rPr>
        <w:rFonts w:ascii="Times New Roman" w:hAnsi="Times New Roman" w:hint="default"/>
      </w:rPr>
    </w:lvl>
    <w:lvl w:ilvl="5" w:tplc="35AA1A02" w:tentative="1">
      <w:start w:val="1"/>
      <w:numFmt w:val="bullet"/>
      <w:lvlText w:val="-"/>
      <w:lvlJc w:val="left"/>
      <w:pPr>
        <w:tabs>
          <w:tab w:val="num" w:pos="4320"/>
        </w:tabs>
        <w:ind w:left="4320" w:hanging="360"/>
      </w:pPr>
      <w:rPr>
        <w:rFonts w:ascii="Times New Roman" w:hAnsi="Times New Roman" w:hint="default"/>
      </w:rPr>
    </w:lvl>
    <w:lvl w:ilvl="6" w:tplc="388CA76C" w:tentative="1">
      <w:start w:val="1"/>
      <w:numFmt w:val="bullet"/>
      <w:lvlText w:val="-"/>
      <w:lvlJc w:val="left"/>
      <w:pPr>
        <w:tabs>
          <w:tab w:val="num" w:pos="5040"/>
        </w:tabs>
        <w:ind w:left="5040" w:hanging="360"/>
      </w:pPr>
      <w:rPr>
        <w:rFonts w:ascii="Times New Roman" w:hAnsi="Times New Roman" w:hint="default"/>
      </w:rPr>
    </w:lvl>
    <w:lvl w:ilvl="7" w:tplc="703E6460" w:tentative="1">
      <w:start w:val="1"/>
      <w:numFmt w:val="bullet"/>
      <w:lvlText w:val="-"/>
      <w:lvlJc w:val="left"/>
      <w:pPr>
        <w:tabs>
          <w:tab w:val="num" w:pos="5760"/>
        </w:tabs>
        <w:ind w:left="5760" w:hanging="360"/>
      </w:pPr>
      <w:rPr>
        <w:rFonts w:ascii="Times New Roman" w:hAnsi="Times New Roman" w:hint="default"/>
      </w:rPr>
    </w:lvl>
    <w:lvl w:ilvl="8" w:tplc="43AEB6E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BFE485D"/>
    <w:multiLevelType w:val="hybridMultilevel"/>
    <w:tmpl w:val="A252A04A"/>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6">
    <w:nsid w:val="3C611458"/>
    <w:multiLevelType w:val="hybridMultilevel"/>
    <w:tmpl w:val="A55EAFB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0401DB6"/>
    <w:multiLevelType w:val="hybridMultilevel"/>
    <w:tmpl w:val="2830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047494"/>
    <w:multiLevelType w:val="hybridMultilevel"/>
    <w:tmpl w:val="1BE46578"/>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52205E6C"/>
    <w:multiLevelType w:val="multilevel"/>
    <w:tmpl w:val="5F94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F82A9E"/>
    <w:multiLevelType w:val="hybridMultilevel"/>
    <w:tmpl w:val="56C88E8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61AE2B04"/>
    <w:multiLevelType w:val="hybridMultilevel"/>
    <w:tmpl w:val="C860B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CC0F12"/>
    <w:multiLevelType w:val="multilevel"/>
    <w:tmpl w:val="B0F6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A465AB"/>
    <w:multiLevelType w:val="multilevel"/>
    <w:tmpl w:val="587E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956ECA"/>
    <w:multiLevelType w:val="hybridMultilevel"/>
    <w:tmpl w:val="68FCFF8C"/>
    <w:lvl w:ilvl="0" w:tplc="0B2620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87B71F2"/>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BE92355"/>
    <w:multiLevelType w:val="hybridMultilevel"/>
    <w:tmpl w:val="82D25286"/>
    <w:lvl w:ilvl="0" w:tplc="B9FA470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nsid w:val="6D4245D4"/>
    <w:multiLevelType w:val="multilevel"/>
    <w:tmpl w:val="200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166DC0"/>
    <w:multiLevelType w:val="hybridMultilevel"/>
    <w:tmpl w:val="E9B2DF28"/>
    <w:lvl w:ilvl="0" w:tplc="9432D23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1C55EDD"/>
    <w:multiLevelType w:val="hybridMultilevel"/>
    <w:tmpl w:val="FDCA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AD4792A"/>
    <w:multiLevelType w:val="hybridMultilevel"/>
    <w:tmpl w:val="B27E3D60"/>
    <w:lvl w:ilvl="0" w:tplc="16BC80C8">
      <w:start w:val="1"/>
      <w:numFmt w:val="decimal"/>
      <w:lvlText w:val="%1-"/>
      <w:lvlJc w:val="left"/>
      <w:pPr>
        <w:ind w:left="2345"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C1807FB"/>
    <w:multiLevelType w:val="hybridMultilevel"/>
    <w:tmpl w:val="8194A416"/>
    <w:lvl w:ilvl="0" w:tplc="3CF4E60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6"/>
  </w:num>
  <w:num w:numId="4">
    <w:abstractNumId w:val="9"/>
  </w:num>
  <w:num w:numId="5">
    <w:abstractNumId w:val="7"/>
  </w:num>
  <w:num w:numId="6">
    <w:abstractNumId w:val="29"/>
  </w:num>
  <w:num w:numId="7">
    <w:abstractNumId w:val="17"/>
  </w:num>
  <w:num w:numId="8">
    <w:abstractNumId w:val="21"/>
  </w:num>
  <w:num w:numId="9">
    <w:abstractNumId w:val="24"/>
  </w:num>
  <w:num w:numId="10">
    <w:abstractNumId w:val="13"/>
  </w:num>
  <w:num w:numId="11">
    <w:abstractNumId w:val="30"/>
  </w:num>
  <w:num w:numId="12">
    <w:abstractNumId w:val="31"/>
  </w:num>
  <w:num w:numId="13">
    <w:abstractNumId w:val="18"/>
  </w:num>
  <w:num w:numId="14">
    <w:abstractNumId w:val="0"/>
  </w:num>
  <w:num w:numId="15">
    <w:abstractNumId w:val="15"/>
  </w:num>
  <w:num w:numId="16">
    <w:abstractNumId w:val="10"/>
  </w:num>
  <w:num w:numId="17">
    <w:abstractNumId w:val="26"/>
  </w:num>
  <w:num w:numId="18">
    <w:abstractNumId w:val="11"/>
  </w:num>
  <w:num w:numId="19">
    <w:abstractNumId w:val="14"/>
  </w:num>
  <w:num w:numId="20">
    <w:abstractNumId w:val="28"/>
  </w:num>
  <w:num w:numId="21">
    <w:abstractNumId w:val="25"/>
  </w:num>
  <w:num w:numId="22">
    <w:abstractNumId w:val="20"/>
  </w:num>
  <w:num w:numId="23">
    <w:abstractNumId w:val="16"/>
  </w:num>
  <w:num w:numId="24">
    <w:abstractNumId w:val="5"/>
  </w:num>
  <w:num w:numId="25">
    <w:abstractNumId w:val="23"/>
  </w:num>
  <w:num w:numId="26">
    <w:abstractNumId w:val="22"/>
  </w:num>
  <w:num w:numId="27">
    <w:abstractNumId w:val="4"/>
  </w:num>
  <w:num w:numId="28">
    <w:abstractNumId w:val="3"/>
  </w:num>
  <w:num w:numId="29">
    <w:abstractNumId w:val="2"/>
  </w:num>
  <w:num w:numId="30">
    <w:abstractNumId w:val="19"/>
  </w:num>
  <w:num w:numId="31">
    <w:abstractNumId w:val="2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64A"/>
    <w:rsid w:val="0003159B"/>
    <w:rsid w:val="00033398"/>
    <w:rsid w:val="00076B76"/>
    <w:rsid w:val="000E0CB3"/>
    <w:rsid w:val="000E674F"/>
    <w:rsid w:val="00132736"/>
    <w:rsid w:val="00170D0E"/>
    <w:rsid w:val="0017660B"/>
    <w:rsid w:val="0019149B"/>
    <w:rsid w:val="0019320E"/>
    <w:rsid w:val="001C51A8"/>
    <w:rsid w:val="001D47D8"/>
    <w:rsid w:val="001F3378"/>
    <w:rsid w:val="002063A4"/>
    <w:rsid w:val="002355BC"/>
    <w:rsid w:val="00245483"/>
    <w:rsid w:val="00264A7F"/>
    <w:rsid w:val="00270E43"/>
    <w:rsid w:val="00277D7E"/>
    <w:rsid w:val="002A631E"/>
    <w:rsid w:val="002B0977"/>
    <w:rsid w:val="002C7072"/>
    <w:rsid w:val="002D4D7A"/>
    <w:rsid w:val="002E1BBD"/>
    <w:rsid w:val="002F0E58"/>
    <w:rsid w:val="00320519"/>
    <w:rsid w:val="003356B3"/>
    <w:rsid w:val="00336B24"/>
    <w:rsid w:val="00342049"/>
    <w:rsid w:val="00342943"/>
    <w:rsid w:val="00351154"/>
    <w:rsid w:val="00370126"/>
    <w:rsid w:val="00375A6D"/>
    <w:rsid w:val="0039600D"/>
    <w:rsid w:val="00416D68"/>
    <w:rsid w:val="004271C5"/>
    <w:rsid w:val="00473B33"/>
    <w:rsid w:val="00476F45"/>
    <w:rsid w:val="004B390B"/>
    <w:rsid w:val="004C0D42"/>
    <w:rsid w:val="004C49F0"/>
    <w:rsid w:val="004D592D"/>
    <w:rsid w:val="004E35C1"/>
    <w:rsid w:val="004E5367"/>
    <w:rsid w:val="004F0622"/>
    <w:rsid w:val="004F3C55"/>
    <w:rsid w:val="00513A09"/>
    <w:rsid w:val="005523FE"/>
    <w:rsid w:val="00561682"/>
    <w:rsid w:val="00561E35"/>
    <w:rsid w:val="0057418E"/>
    <w:rsid w:val="00593C76"/>
    <w:rsid w:val="0059517C"/>
    <w:rsid w:val="005A0926"/>
    <w:rsid w:val="005A1AC0"/>
    <w:rsid w:val="005C439C"/>
    <w:rsid w:val="005D44BA"/>
    <w:rsid w:val="00604BC3"/>
    <w:rsid w:val="0060647B"/>
    <w:rsid w:val="006076B8"/>
    <w:rsid w:val="00626079"/>
    <w:rsid w:val="00627342"/>
    <w:rsid w:val="00634F27"/>
    <w:rsid w:val="00680588"/>
    <w:rsid w:val="006A5656"/>
    <w:rsid w:val="006D2F94"/>
    <w:rsid w:val="00750A91"/>
    <w:rsid w:val="00762F82"/>
    <w:rsid w:val="00762FC7"/>
    <w:rsid w:val="0077282F"/>
    <w:rsid w:val="00787EDE"/>
    <w:rsid w:val="007B4493"/>
    <w:rsid w:val="007B5526"/>
    <w:rsid w:val="007B5EF6"/>
    <w:rsid w:val="007D18DD"/>
    <w:rsid w:val="007D55B9"/>
    <w:rsid w:val="00800422"/>
    <w:rsid w:val="00810714"/>
    <w:rsid w:val="0085383B"/>
    <w:rsid w:val="00853B3D"/>
    <w:rsid w:val="00862F27"/>
    <w:rsid w:val="00893EA9"/>
    <w:rsid w:val="0089660C"/>
    <w:rsid w:val="009215C6"/>
    <w:rsid w:val="00924218"/>
    <w:rsid w:val="0094751C"/>
    <w:rsid w:val="00960173"/>
    <w:rsid w:val="00972543"/>
    <w:rsid w:val="0098674F"/>
    <w:rsid w:val="009B0DA2"/>
    <w:rsid w:val="009B7A8B"/>
    <w:rsid w:val="009C465F"/>
    <w:rsid w:val="009D3852"/>
    <w:rsid w:val="009D6842"/>
    <w:rsid w:val="00A21F15"/>
    <w:rsid w:val="00A67ADE"/>
    <w:rsid w:val="00A82D82"/>
    <w:rsid w:val="00AD6EBD"/>
    <w:rsid w:val="00AE177A"/>
    <w:rsid w:val="00AF07DA"/>
    <w:rsid w:val="00B25FF5"/>
    <w:rsid w:val="00B556D5"/>
    <w:rsid w:val="00B628BD"/>
    <w:rsid w:val="00B73644"/>
    <w:rsid w:val="00B96510"/>
    <w:rsid w:val="00BA15F2"/>
    <w:rsid w:val="00BA4E6B"/>
    <w:rsid w:val="00BD0070"/>
    <w:rsid w:val="00BF7156"/>
    <w:rsid w:val="00C07A5C"/>
    <w:rsid w:val="00C303EC"/>
    <w:rsid w:val="00C46664"/>
    <w:rsid w:val="00C576E4"/>
    <w:rsid w:val="00C74449"/>
    <w:rsid w:val="00CD2BA6"/>
    <w:rsid w:val="00D05805"/>
    <w:rsid w:val="00D075BA"/>
    <w:rsid w:val="00D1464A"/>
    <w:rsid w:val="00D2425A"/>
    <w:rsid w:val="00D62873"/>
    <w:rsid w:val="00DB0887"/>
    <w:rsid w:val="00E00875"/>
    <w:rsid w:val="00E31D88"/>
    <w:rsid w:val="00E83BD9"/>
    <w:rsid w:val="00EB6687"/>
    <w:rsid w:val="00ED53BE"/>
    <w:rsid w:val="00EE0134"/>
    <w:rsid w:val="00EE3066"/>
    <w:rsid w:val="00F11962"/>
    <w:rsid w:val="00F20577"/>
    <w:rsid w:val="00F26EFB"/>
    <w:rsid w:val="00F44677"/>
    <w:rsid w:val="00F5137B"/>
    <w:rsid w:val="00F7134D"/>
    <w:rsid w:val="00F9257E"/>
    <w:rsid w:val="00F97518"/>
    <w:rsid w:val="00FA6EA8"/>
    <w:rsid w:val="00FB0BD1"/>
    <w:rsid w:val="00FB2036"/>
    <w:rsid w:val="00FC35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965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65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B9651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96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6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96510"/>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B96510"/>
    <w:rPr>
      <w:color w:val="0000FF"/>
      <w:u w:val="single"/>
    </w:rPr>
  </w:style>
  <w:style w:type="character" w:styleId="lev">
    <w:name w:val="Strong"/>
    <w:basedOn w:val="Policepardfaut"/>
    <w:uiPriority w:val="22"/>
    <w:qFormat/>
    <w:rsid w:val="00B96510"/>
    <w:rPr>
      <w:b/>
      <w:bCs/>
    </w:rPr>
  </w:style>
  <w:style w:type="paragraph" w:customStyle="1" w:styleId="zoom">
    <w:name w:val="zoom"/>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6510"/>
    <w:rPr>
      <w:i/>
      <w:iCs/>
    </w:rPr>
  </w:style>
  <w:style w:type="paragraph" w:customStyle="1" w:styleId="sans-alinea">
    <w:name w:val="sans-alinea"/>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075BA"/>
    <w:pPr>
      <w:tabs>
        <w:tab w:val="center" w:pos="4536"/>
        <w:tab w:val="right" w:pos="9072"/>
      </w:tabs>
      <w:spacing w:after="0" w:line="240" w:lineRule="auto"/>
    </w:pPr>
  </w:style>
  <w:style w:type="character" w:customStyle="1" w:styleId="En-tteCar">
    <w:name w:val="En-tête Car"/>
    <w:basedOn w:val="Policepardfaut"/>
    <w:link w:val="En-tte"/>
    <w:uiPriority w:val="99"/>
    <w:rsid w:val="00D075BA"/>
  </w:style>
  <w:style w:type="paragraph" w:styleId="Pieddepage">
    <w:name w:val="footer"/>
    <w:basedOn w:val="Normal"/>
    <w:link w:val="PieddepageCar"/>
    <w:uiPriority w:val="99"/>
    <w:unhideWhenUsed/>
    <w:rsid w:val="00D075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5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965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65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B9651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96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6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96510"/>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B96510"/>
    <w:rPr>
      <w:color w:val="0000FF"/>
      <w:u w:val="single"/>
    </w:rPr>
  </w:style>
  <w:style w:type="character" w:styleId="lev">
    <w:name w:val="Strong"/>
    <w:basedOn w:val="Policepardfaut"/>
    <w:uiPriority w:val="22"/>
    <w:qFormat/>
    <w:rsid w:val="00B96510"/>
    <w:rPr>
      <w:b/>
      <w:bCs/>
    </w:rPr>
  </w:style>
  <w:style w:type="paragraph" w:customStyle="1" w:styleId="zoom">
    <w:name w:val="zoom"/>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6510"/>
    <w:rPr>
      <w:i/>
      <w:iCs/>
    </w:rPr>
  </w:style>
  <w:style w:type="paragraph" w:customStyle="1" w:styleId="sans-alinea">
    <w:name w:val="sans-alinea"/>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075BA"/>
    <w:pPr>
      <w:tabs>
        <w:tab w:val="center" w:pos="4536"/>
        <w:tab w:val="right" w:pos="9072"/>
      </w:tabs>
      <w:spacing w:after="0" w:line="240" w:lineRule="auto"/>
    </w:pPr>
  </w:style>
  <w:style w:type="character" w:customStyle="1" w:styleId="En-tteCar">
    <w:name w:val="En-tête Car"/>
    <w:basedOn w:val="Policepardfaut"/>
    <w:link w:val="En-tte"/>
    <w:uiPriority w:val="99"/>
    <w:rsid w:val="00D075BA"/>
  </w:style>
  <w:style w:type="paragraph" w:styleId="Pieddepage">
    <w:name w:val="footer"/>
    <w:basedOn w:val="Normal"/>
    <w:link w:val="PieddepageCar"/>
    <w:uiPriority w:val="99"/>
    <w:unhideWhenUsed/>
    <w:rsid w:val="00D075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85294">
      <w:bodyDiv w:val="1"/>
      <w:marLeft w:val="0"/>
      <w:marRight w:val="0"/>
      <w:marTop w:val="0"/>
      <w:marBottom w:val="0"/>
      <w:divBdr>
        <w:top w:val="none" w:sz="0" w:space="0" w:color="auto"/>
        <w:left w:val="none" w:sz="0" w:space="0" w:color="auto"/>
        <w:bottom w:val="none" w:sz="0" w:space="0" w:color="auto"/>
        <w:right w:val="none" w:sz="0" w:space="0" w:color="auto"/>
      </w:divBdr>
    </w:div>
    <w:div w:id="475143518">
      <w:bodyDiv w:val="1"/>
      <w:marLeft w:val="0"/>
      <w:marRight w:val="0"/>
      <w:marTop w:val="0"/>
      <w:marBottom w:val="0"/>
      <w:divBdr>
        <w:top w:val="none" w:sz="0" w:space="0" w:color="auto"/>
        <w:left w:val="none" w:sz="0" w:space="0" w:color="auto"/>
        <w:bottom w:val="none" w:sz="0" w:space="0" w:color="auto"/>
        <w:right w:val="none" w:sz="0" w:space="0" w:color="auto"/>
      </w:divBdr>
    </w:div>
    <w:div w:id="489444405">
      <w:bodyDiv w:val="1"/>
      <w:marLeft w:val="0"/>
      <w:marRight w:val="0"/>
      <w:marTop w:val="0"/>
      <w:marBottom w:val="0"/>
      <w:divBdr>
        <w:top w:val="none" w:sz="0" w:space="0" w:color="auto"/>
        <w:left w:val="none" w:sz="0" w:space="0" w:color="auto"/>
        <w:bottom w:val="none" w:sz="0" w:space="0" w:color="auto"/>
        <w:right w:val="none" w:sz="0" w:space="0" w:color="auto"/>
      </w:divBdr>
    </w:div>
    <w:div w:id="610934661">
      <w:bodyDiv w:val="1"/>
      <w:marLeft w:val="0"/>
      <w:marRight w:val="0"/>
      <w:marTop w:val="0"/>
      <w:marBottom w:val="0"/>
      <w:divBdr>
        <w:top w:val="none" w:sz="0" w:space="0" w:color="auto"/>
        <w:left w:val="none" w:sz="0" w:space="0" w:color="auto"/>
        <w:bottom w:val="none" w:sz="0" w:space="0" w:color="auto"/>
        <w:right w:val="none" w:sz="0" w:space="0" w:color="auto"/>
      </w:divBdr>
    </w:div>
    <w:div w:id="637881428">
      <w:bodyDiv w:val="1"/>
      <w:marLeft w:val="0"/>
      <w:marRight w:val="0"/>
      <w:marTop w:val="0"/>
      <w:marBottom w:val="0"/>
      <w:divBdr>
        <w:top w:val="none" w:sz="0" w:space="0" w:color="auto"/>
        <w:left w:val="none" w:sz="0" w:space="0" w:color="auto"/>
        <w:bottom w:val="none" w:sz="0" w:space="0" w:color="auto"/>
        <w:right w:val="none" w:sz="0" w:space="0" w:color="auto"/>
      </w:divBdr>
    </w:div>
    <w:div w:id="658467024">
      <w:bodyDiv w:val="1"/>
      <w:marLeft w:val="0"/>
      <w:marRight w:val="0"/>
      <w:marTop w:val="0"/>
      <w:marBottom w:val="0"/>
      <w:divBdr>
        <w:top w:val="none" w:sz="0" w:space="0" w:color="auto"/>
        <w:left w:val="none" w:sz="0" w:space="0" w:color="auto"/>
        <w:bottom w:val="none" w:sz="0" w:space="0" w:color="auto"/>
        <w:right w:val="none" w:sz="0" w:space="0" w:color="auto"/>
      </w:divBdr>
    </w:div>
    <w:div w:id="788858839">
      <w:bodyDiv w:val="1"/>
      <w:marLeft w:val="0"/>
      <w:marRight w:val="0"/>
      <w:marTop w:val="0"/>
      <w:marBottom w:val="0"/>
      <w:divBdr>
        <w:top w:val="none" w:sz="0" w:space="0" w:color="auto"/>
        <w:left w:val="none" w:sz="0" w:space="0" w:color="auto"/>
        <w:bottom w:val="none" w:sz="0" w:space="0" w:color="auto"/>
        <w:right w:val="none" w:sz="0" w:space="0" w:color="auto"/>
      </w:divBdr>
    </w:div>
    <w:div w:id="817916918">
      <w:bodyDiv w:val="1"/>
      <w:marLeft w:val="0"/>
      <w:marRight w:val="0"/>
      <w:marTop w:val="0"/>
      <w:marBottom w:val="0"/>
      <w:divBdr>
        <w:top w:val="none" w:sz="0" w:space="0" w:color="auto"/>
        <w:left w:val="none" w:sz="0" w:space="0" w:color="auto"/>
        <w:bottom w:val="none" w:sz="0" w:space="0" w:color="auto"/>
        <w:right w:val="none" w:sz="0" w:space="0" w:color="auto"/>
      </w:divBdr>
    </w:div>
    <w:div w:id="862087286">
      <w:bodyDiv w:val="1"/>
      <w:marLeft w:val="0"/>
      <w:marRight w:val="0"/>
      <w:marTop w:val="0"/>
      <w:marBottom w:val="0"/>
      <w:divBdr>
        <w:top w:val="none" w:sz="0" w:space="0" w:color="auto"/>
        <w:left w:val="none" w:sz="0" w:space="0" w:color="auto"/>
        <w:bottom w:val="none" w:sz="0" w:space="0" w:color="auto"/>
        <w:right w:val="none" w:sz="0" w:space="0" w:color="auto"/>
      </w:divBdr>
    </w:div>
    <w:div w:id="1037973414">
      <w:bodyDiv w:val="1"/>
      <w:marLeft w:val="0"/>
      <w:marRight w:val="0"/>
      <w:marTop w:val="0"/>
      <w:marBottom w:val="0"/>
      <w:divBdr>
        <w:top w:val="none" w:sz="0" w:space="0" w:color="auto"/>
        <w:left w:val="none" w:sz="0" w:space="0" w:color="auto"/>
        <w:bottom w:val="none" w:sz="0" w:space="0" w:color="auto"/>
        <w:right w:val="none" w:sz="0" w:space="0" w:color="auto"/>
      </w:divBdr>
    </w:div>
    <w:div w:id="1096513972">
      <w:bodyDiv w:val="1"/>
      <w:marLeft w:val="0"/>
      <w:marRight w:val="0"/>
      <w:marTop w:val="0"/>
      <w:marBottom w:val="0"/>
      <w:divBdr>
        <w:top w:val="none" w:sz="0" w:space="0" w:color="auto"/>
        <w:left w:val="none" w:sz="0" w:space="0" w:color="auto"/>
        <w:bottom w:val="none" w:sz="0" w:space="0" w:color="auto"/>
        <w:right w:val="none" w:sz="0" w:space="0" w:color="auto"/>
      </w:divBdr>
    </w:div>
    <w:div w:id="1097361633">
      <w:bodyDiv w:val="1"/>
      <w:marLeft w:val="0"/>
      <w:marRight w:val="0"/>
      <w:marTop w:val="0"/>
      <w:marBottom w:val="0"/>
      <w:divBdr>
        <w:top w:val="none" w:sz="0" w:space="0" w:color="auto"/>
        <w:left w:val="none" w:sz="0" w:space="0" w:color="auto"/>
        <w:bottom w:val="none" w:sz="0" w:space="0" w:color="auto"/>
        <w:right w:val="none" w:sz="0" w:space="0" w:color="auto"/>
      </w:divBdr>
    </w:div>
    <w:div w:id="1210924145">
      <w:bodyDiv w:val="1"/>
      <w:marLeft w:val="0"/>
      <w:marRight w:val="0"/>
      <w:marTop w:val="0"/>
      <w:marBottom w:val="0"/>
      <w:divBdr>
        <w:top w:val="none" w:sz="0" w:space="0" w:color="auto"/>
        <w:left w:val="none" w:sz="0" w:space="0" w:color="auto"/>
        <w:bottom w:val="none" w:sz="0" w:space="0" w:color="auto"/>
        <w:right w:val="none" w:sz="0" w:space="0" w:color="auto"/>
      </w:divBdr>
    </w:div>
    <w:div w:id="1221526529">
      <w:bodyDiv w:val="1"/>
      <w:marLeft w:val="0"/>
      <w:marRight w:val="0"/>
      <w:marTop w:val="0"/>
      <w:marBottom w:val="0"/>
      <w:divBdr>
        <w:top w:val="none" w:sz="0" w:space="0" w:color="auto"/>
        <w:left w:val="none" w:sz="0" w:space="0" w:color="auto"/>
        <w:bottom w:val="none" w:sz="0" w:space="0" w:color="auto"/>
        <w:right w:val="none" w:sz="0" w:space="0" w:color="auto"/>
      </w:divBdr>
    </w:div>
    <w:div w:id="1259945657">
      <w:bodyDiv w:val="1"/>
      <w:marLeft w:val="0"/>
      <w:marRight w:val="0"/>
      <w:marTop w:val="0"/>
      <w:marBottom w:val="0"/>
      <w:divBdr>
        <w:top w:val="none" w:sz="0" w:space="0" w:color="auto"/>
        <w:left w:val="none" w:sz="0" w:space="0" w:color="auto"/>
        <w:bottom w:val="none" w:sz="0" w:space="0" w:color="auto"/>
        <w:right w:val="none" w:sz="0" w:space="0" w:color="auto"/>
      </w:divBdr>
    </w:div>
    <w:div w:id="1324700221">
      <w:bodyDiv w:val="1"/>
      <w:marLeft w:val="0"/>
      <w:marRight w:val="0"/>
      <w:marTop w:val="0"/>
      <w:marBottom w:val="0"/>
      <w:divBdr>
        <w:top w:val="none" w:sz="0" w:space="0" w:color="auto"/>
        <w:left w:val="none" w:sz="0" w:space="0" w:color="auto"/>
        <w:bottom w:val="none" w:sz="0" w:space="0" w:color="auto"/>
        <w:right w:val="none" w:sz="0" w:space="0" w:color="auto"/>
      </w:divBdr>
    </w:div>
    <w:div w:id="1526556212">
      <w:bodyDiv w:val="1"/>
      <w:marLeft w:val="0"/>
      <w:marRight w:val="0"/>
      <w:marTop w:val="0"/>
      <w:marBottom w:val="0"/>
      <w:divBdr>
        <w:top w:val="none" w:sz="0" w:space="0" w:color="auto"/>
        <w:left w:val="none" w:sz="0" w:space="0" w:color="auto"/>
        <w:bottom w:val="none" w:sz="0" w:space="0" w:color="auto"/>
        <w:right w:val="none" w:sz="0" w:space="0" w:color="auto"/>
      </w:divBdr>
    </w:div>
    <w:div w:id="1571236563">
      <w:bodyDiv w:val="1"/>
      <w:marLeft w:val="0"/>
      <w:marRight w:val="0"/>
      <w:marTop w:val="0"/>
      <w:marBottom w:val="0"/>
      <w:divBdr>
        <w:top w:val="none" w:sz="0" w:space="0" w:color="auto"/>
        <w:left w:val="none" w:sz="0" w:space="0" w:color="auto"/>
        <w:bottom w:val="none" w:sz="0" w:space="0" w:color="auto"/>
        <w:right w:val="none" w:sz="0" w:space="0" w:color="auto"/>
      </w:divBdr>
    </w:div>
    <w:div w:id="1592203562">
      <w:bodyDiv w:val="1"/>
      <w:marLeft w:val="0"/>
      <w:marRight w:val="0"/>
      <w:marTop w:val="0"/>
      <w:marBottom w:val="0"/>
      <w:divBdr>
        <w:top w:val="none" w:sz="0" w:space="0" w:color="auto"/>
        <w:left w:val="none" w:sz="0" w:space="0" w:color="auto"/>
        <w:bottom w:val="none" w:sz="0" w:space="0" w:color="auto"/>
        <w:right w:val="none" w:sz="0" w:space="0" w:color="auto"/>
      </w:divBdr>
    </w:div>
    <w:div w:id="1629823088">
      <w:bodyDiv w:val="1"/>
      <w:marLeft w:val="0"/>
      <w:marRight w:val="0"/>
      <w:marTop w:val="0"/>
      <w:marBottom w:val="0"/>
      <w:divBdr>
        <w:top w:val="none" w:sz="0" w:space="0" w:color="auto"/>
        <w:left w:val="none" w:sz="0" w:space="0" w:color="auto"/>
        <w:bottom w:val="none" w:sz="0" w:space="0" w:color="auto"/>
        <w:right w:val="none" w:sz="0" w:space="0" w:color="auto"/>
      </w:divBdr>
    </w:div>
    <w:div w:id="1774979127">
      <w:bodyDiv w:val="1"/>
      <w:marLeft w:val="0"/>
      <w:marRight w:val="0"/>
      <w:marTop w:val="0"/>
      <w:marBottom w:val="0"/>
      <w:divBdr>
        <w:top w:val="none" w:sz="0" w:space="0" w:color="auto"/>
        <w:left w:val="none" w:sz="0" w:space="0" w:color="auto"/>
        <w:bottom w:val="none" w:sz="0" w:space="0" w:color="auto"/>
        <w:right w:val="none" w:sz="0" w:space="0" w:color="auto"/>
      </w:divBdr>
    </w:div>
    <w:div w:id="1788039408">
      <w:bodyDiv w:val="1"/>
      <w:marLeft w:val="0"/>
      <w:marRight w:val="0"/>
      <w:marTop w:val="0"/>
      <w:marBottom w:val="0"/>
      <w:divBdr>
        <w:top w:val="none" w:sz="0" w:space="0" w:color="auto"/>
        <w:left w:val="none" w:sz="0" w:space="0" w:color="auto"/>
        <w:bottom w:val="none" w:sz="0" w:space="0" w:color="auto"/>
        <w:right w:val="none" w:sz="0" w:space="0" w:color="auto"/>
      </w:divBdr>
      <w:divsChild>
        <w:div w:id="827938228">
          <w:marLeft w:val="0"/>
          <w:marRight w:val="0"/>
          <w:marTop w:val="0"/>
          <w:marBottom w:val="0"/>
          <w:divBdr>
            <w:top w:val="none" w:sz="0" w:space="0" w:color="auto"/>
            <w:left w:val="none" w:sz="0" w:space="0" w:color="auto"/>
            <w:bottom w:val="none" w:sz="0" w:space="0" w:color="auto"/>
            <w:right w:val="none" w:sz="0" w:space="0" w:color="auto"/>
          </w:divBdr>
          <w:divsChild>
            <w:div w:id="1369184085">
              <w:marLeft w:val="0"/>
              <w:marRight w:val="0"/>
              <w:marTop w:val="0"/>
              <w:marBottom w:val="0"/>
              <w:divBdr>
                <w:top w:val="none" w:sz="0" w:space="0" w:color="auto"/>
                <w:left w:val="none" w:sz="0" w:space="0" w:color="auto"/>
                <w:bottom w:val="none" w:sz="0" w:space="0" w:color="auto"/>
                <w:right w:val="none" w:sz="0" w:space="0" w:color="auto"/>
              </w:divBdr>
              <w:divsChild>
                <w:div w:id="1271166309">
                  <w:marLeft w:val="0"/>
                  <w:marRight w:val="0"/>
                  <w:marTop w:val="0"/>
                  <w:marBottom w:val="0"/>
                  <w:divBdr>
                    <w:top w:val="none" w:sz="0" w:space="0" w:color="auto"/>
                    <w:left w:val="none" w:sz="0" w:space="0" w:color="auto"/>
                    <w:bottom w:val="none" w:sz="0" w:space="0" w:color="auto"/>
                    <w:right w:val="none" w:sz="0" w:space="0" w:color="auto"/>
                  </w:divBdr>
                  <w:divsChild>
                    <w:div w:id="21001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572">
      <w:bodyDiv w:val="1"/>
      <w:marLeft w:val="0"/>
      <w:marRight w:val="0"/>
      <w:marTop w:val="0"/>
      <w:marBottom w:val="0"/>
      <w:divBdr>
        <w:top w:val="none" w:sz="0" w:space="0" w:color="auto"/>
        <w:left w:val="none" w:sz="0" w:space="0" w:color="auto"/>
        <w:bottom w:val="none" w:sz="0" w:space="0" w:color="auto"/>
        <w:right w:val="none" w:sz="0" w:space="0" w:color="auto"/>
      </w:divBdr>
    </w:div>
    <w:div w:id="185935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514</Words>
  <Characters>2829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sism</dc:creator>
  <cp:lastModifiedBy>LENOVO</cp:lastModifiedBy>
  <cp:revision>9</cp:revision>
  <cp:lastPrinted>2016-09-18T17:21:00Z</cp:lastPrinted>
  <dcterms:created xsi:type="dcterms:W3CDTF">2017-09-29T17:26:00Z</dcterms:created>
  <dcterms:modified xsi:type="dcterms:W3CDTF">2017-10-07T19:47:00Z</dcterms:modified>
</cp:coreProperties>
</file>