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51" w:rsidRDefault="00705255" w:rsidP="00704C51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7052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704C51" w:rsidRDefault="00704C51" w:rsidP="00704C5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704C51" w:rsidRDefault="00704C51" w:rsidP="00704C5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704C51" w:rsidRDefault="00704C51" w:rsidP="00704C5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705255">
        <w:rPr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704C51" w:rsidRDefault="00704C51" w:rsidP="00704C5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704C51" w:rsidRDefault="00704C51" w:rsidP="00704C5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704C51" w:rsidRDefault="00704C51" w:rsidP="00704C51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704C51" w:rsidRDefault="00704C51" w:rsidP="00704C5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04C51" w:rsidRDefault="00705255" w:rsidP="00704C51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704C51" w:rsidRDefault="00704C51" w:rsidP="00704C5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9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704C51" w:rsidRDefault="00704C51" w:rsidP="00704C5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704C51" w:rsidRDefault="00704C51" w:rsidP="00704C5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704C51" w:rsidRDefault="00704C51" w:rsidP="00704C51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704C51" w:rsidRDefault="00705255" w:rsidP="00704C51">
      <w:pPr>
        <w:rPr>
          <w:sz w:val="16"/>
          <w:szCs w:val="16"/>
          <w:rtl/>
          <w:lang w:bidi="ar-DZ"/>
        </w:rPr>
      </w:pPr>
      <w:r w:rsidRPr="00705255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704C51" w:rsidRDefault="00704C51" w:rsidP="00704C51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704C51" w:rsidRDefault="00704C51" w:rsidP="00704C51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704C51" w:rsidRDefault="00704C51" w:rsidP="00704C51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704C51" w:rsidRPr="00AB7522" w:rsidRDefault="00704C51" w:rsidP="00704C51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704C51" w:rsidRPr="004B1A17" w:rsidRDefault="00704C51" w:rsidP="004624B2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4624B2">
        <w:rPr>
          <w:rFonts w:hint="cs"/>
          <w:b/>
          <w:bCs/>
          <w:sz w:val="24"/>
          <w:szCs w:val="24"/>
          <w:rtl/>
          <w:lang w:bidi="ar-DZ"/>
        </w:rPr>
        <w:t>199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704C51" w:rsidRDefault="00704C51" w:rsidP="00704C51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704C51" w:rsidRPr="00EF46C6" w:rsidRDefault="00704C51" w:rsidP="00704C51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b/>
          <w:bCs/>
          <w:color w:val="000000" w:themeColor="text1"/>
          <w:sz w:val="28"/>
          <w:szCs w:val="28"/>
          <w:lang w:bidi="ar-DZ"/>
        </w:rPr>
        <w:t>29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ماي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04C51" w:rsidRDefault="00704C51" w:rsidP="00704C51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36</w:t>
      </w:r>
    </w:p>
    <w:p w:rsidR="00704C51" w:rsidRPr="004E4977" w:rsidRDefault="00704C51" w:rsidP="00704C51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704C51" w:rsidRDefault="00704C51" w:rsidP="00704C51">
      <w:pPr>
        <w:bidi/>
        <w:ind w:right="-426" w:firstLine="708"/>
        <w:rPr>
          <w:sz w:val="28"/>
          <w:szCs w:val="28"/>
          <w:rtl/>
          <w:lang w:bidi="ar-DZ"/>
        </w:rPr>
      </w:pPr>
    </w:p>
    <w:p w:rsidR="00704C51" w:rsidRDefault="00704C51" w:rsidP="00704C51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التاسع و العشرين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ماي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704C51" w:rsidRPr="00883D6B" w:rsidRDefault="00704C51" w:rsidP="00704C51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704C51" w:rsidRDefault="00704C51" w:rsidP="00704C51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704C51" w:rsidRPr="005425AB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704C51" w:rsidRDefault="00704C51" w:rsidP="00704C51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704C51" w:rsidRDefault="00704C51" w:rsidP="00704C51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</w:rPr>
      </w:pP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بوطومو سمير                  مسؤول مصلحة الانخراط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محمد العربي مجروبي        مسؤول خلية ضمان الجودة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الغائبون </w:t>
      </w:r>
    </w:p>
    <w:p w:rsidR="00704C51" w:rsidRDefault="00704C51" w:rsidP="00704C51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بالبيداغوجيا و المسائل المرتبطة بشؤون الطلبة ( بعذر)</w:t>
      </w:r>
    </w:p>
    <w:p w:rsidR="00704C51" w:rsidRPr="00832A65" w:rsidRDefault="00704C51" w:rsidP="00704C51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704C51" w:rsidRPr="000F7567" w:rsidRDefault="00704C51" w:rsidP="00704C51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704C51" w:rsidRDefault="00704C51" w:rsidP="00704C51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مشروع حديقة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باردو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قسنطينة</w:t>
      </w:r>
    </w:p>
    <w:p w:rsidR="00704C51" w:rsidRDefault="00704C51" w:rsidP="00704C51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حصيلة امتحانات الدورة العادية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الثاني</w:t>
      </w:r>
    </w:p>
    <w:p w:rsidR="00D7630D" w:rsidRPr="004F036D" w:rsidRDefault="00D7630D" w:rsidP="00D7630D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توزيع المقرات لمناقشة مذكرات التخرج </w:t>
      </w:r>
    </w:p>
    <w:p w:rsidR="00704C51" w:rsidRDefault="00704C51" w:rsidP="00704C51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704C51" w:rsidRDefault="00704C51" w:rsidP="00704C51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ضمان الجودة </w:t>
      </w:r>
      <w:r>
        <w:rPr>
          <w:b/>
          <w:bCs/>
          <w:sz w:val="28"/>
          <w:szCs w:val="28"/>
          <w:lang w:bidi="ar-DZ"/>
        </w:rPr>
        <w:t xml:space="preserve">Assurance Qualité </w:t>
      </w:r>
    </w:p>
    <w:p w:rsidR="004624B2" w:rsidRDefault="004624B2" w:rsidP="004624B2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E94DC0" w:rsidRPr="00C55AE4" w:rsidRDefault="00E94DC0" w:rsidP="00D7630D">
      <w:pPr>
        <w:pStyle w:val="Paragraphedeliste"/>
        <w:bidi/>
        <w:ind w:left="502"/>
        <w:rPr>
          <w:b/>
          <w:bCs/>
          <w:sz w:val="28"/>
          <w:szCs w:val="28"/>
          <w:lang w:bidi="ar-DZ"/>
        </w:rPr>
      </w:pPr>
    </w:p>
    <w:p w:rsidR="00704C51" w:rsidRDefault="00704C51" w:rsidP="00704C51">
      <w:pPr>
        <w:bidi/>
        <w:rPr>
          <w:b/>
          <w:bCs/>
          <w:sz w:val="28"/>
          <w:szCs w:val="28"/>
          <w:rtl/>
          <w:lang w:bidi="ar-DZ"/>
        </w:rPr>
      </w:pPr>
    </w:p>
    <w:p w:rsidR="00704C51" w:rsidRDefault="00704C51" w:rsidP="00704C51">
      <w:pPr>
        <w:bidi/>
        <w:rPr>
          <w:b/>
          <w:bCs/>
          <w:sz w:val="28"/>
          <w:szCs w:val="28"/>
          <w:rtl/>
          <w:lang w:bidi="ar-DZ"/>
        </w:rPr>
      </w:pPr>
    </w:p>
    <w:p w:rsidR="00704C51" w:rsidRDefault="00704C51" w:rsidP="00704C51">
      <w:pPr>
        <w:bidi/>
        <w:rPr>
          <w:b/>
          <w:bCs/>
          <w:sz w:val="28"/>
          <w:szCs w:val="28"/>
          <w:rtl/>
          <w:lang w:bidi="ar-DZ"/>
        </w:rPr>
      </w:pPr>
    </w:p>
    <w:p w:rsidR="00704C51" w:rsidRPr="00B90A94" w:rsidRDefault="00704C51" w:rsidP="00704C51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مشروع حديقة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باردو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قسنطينة</w:t>
      </w:r>
    </w:p>
    <w:p w:rsidR="00704C51" w:rsidRDefault="00704C51" w:rsidP="00704C51">
      <w:pPr>
        <w:bidi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43498" w:rsidRDefault="00943498" w:rsidP="00943498">
      <w:pPr>
        <w:bidi/>
        <w:spacing w:after="0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متابعة لمشروع حديقة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باردو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قسنطينة قدم</w:t>
      </w:r>
      <w:r w:rsidR="00704C51"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عميد الكلية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 الزيارات الميدانية و الاجتماعات التي تمت  و  لقد تمت زيارة ميدانية رفقة السيد رئيس الجامعة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الحديقة يوم الاثنين 28 ماي 2018 على الساعة 10 صباحا رفقة الهيئات المكلفة بمشروع الحديقة </w:t>
      </w:r>
    </w:p>
    <w:p w:rsidR="00943498" w:rsidRDefault="00943498" w:rsidP="00943498">
      <w:pPr>
        <w:bidi/>
        <w:spacing w:after="0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04C51" w:rsidRPr="00943498" w:rsidRDefault="00704C51" w:rsidP="0094349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94349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امتحانات الدورة العادية للسداسي الثاني</w:t>
      </w:r>
    </w:p>
    <w:p w:rsidR="00704C51" w:rsidRDefault="00704C51" w:rsidP="00704C51">
      <w:pPr>
        <w:pStyle w:val="Paragraphedeliste"/>
        <w:bidi/>
        <w:ind w:left="927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704C51" w:rsidRDefault="00704C51" w:rsidP="00943498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215E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التقارير اليومية  المقدمة من رؤساء الأقسام لتتبع سير امتحانات الدورة العادية للسداسي الثاني من الموسم الجامعي 2017/2018 نورد حصيلة الأيام </w:t>
      </w:r>
      <w:r w:rsidR="0094349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22- 28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ماي 2018 وفق الجدول التالي : </w:t>
      </w:r>
    </w:p>
    <w:tbl>
      <w:tblPr>
        <w:tblpPr w:leftFromText="141" w:rightFromText="141" w:vertAnchor="page" w:horzAnchor="margin" w:tblpY="4459"/>
        <w:bidiVisual/>
        <w:tblW w:w="8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0"/>
        <w:gridCol w:w="1984"/>
        <w:gridCol w:w="2126"/>
        <w:gridCol w:w="993"/>
      </w:tblGrid>
      <w:tr w:rsidR="00943498" w:rsidRPr="0048663D" w:rsidTr="00943498">
        <w:trPr>
          <w:trHeight w:val="89"/>
        </w:trPr>
        <w:tc>
          <w:tcPr>
            <w:tcW w:w="31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3498" w:rsidRPr="00D7486C" w:rsidRDefault="00943498" w:rsidP="00943498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498" w:rsidRPr="00D7486C" w:rsidRDefault="00943498" w:rsidP="00943498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D748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الامتحانات</w:t>
            </w: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المبرمجة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943498" w:rsidRPr="00D7486C" w:rsidRDefault="00943498" w:rsidP="00943498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D748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الامتحانات</w:t>
            </w: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المنجزة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498" w:rsidRPr="0048663D" w:rsidRDefault="00943498" w:rsidP="00943498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(%)</w:t>
            </w:r>
          </w:p>
        </w:tc>
      </w:tr>
      <w:tr w:rsidR="004624B2" w:rsidRPr="0048663D" w:rsidTr="00943498">
        <w:trPr>
          <w:trHeight w:val="145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ذ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ع</w:t>
            </w:r>
            <w:proofErr w:type="gramEnd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 المشترك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4624B2" w:rsidRPr="0048663D" w:rsidTr="00943498">
        <w:trPr>
          <w:trHeight w:val="33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بيولوجيا الحيوان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%</w:t>
            </w:r>
          </w:p>
        </w:tc>
      </w:tr>
      <w:tr w:rsidR="004624B2" w:rsidRPr="0048663D" w:rsidTr="00943498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>ال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US" w:bidi="ar-DZ"/>
              </w:rPr>
              <w:t xml:space="preserve">بيولوجيا 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 xml:space="preserve">و علم البيئة 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US" w:bidi="ar-DZ"/>
              </w:rPr>
              <w:t>النبات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>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4624B2" w:rsidRPr="0048663D" w:rsidTr="00943498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4624B2" w:rsidRPr="0048663D" w:rsidTr="00943498">
        <w:trPr>
          <w:trHeight w:val="82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الميكروبيولوجيا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4624B2" w:rsidRPr="0048663D" w:rsidTr="00943498">
        <w:trPr>
          <w:trHeight w:val="31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البيولوجيا التطبيقية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100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4624B2" w:rsidRPr="0048663D" w:rsidTr="00943498">
        <w:trPr>
          <w:trHeight w:val="153"/>
        </w:trPr>
        <w:tc>
          <w:tcPr>
            <w:tcW w:w="3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24B2" w:rsidRPr="00D7486C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81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81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B2" w:rsidRPr="00721687" w:rsidRDefault="004624B2" w:rsidP="004624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</w:tbl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704C51" w:rsidRDefault="00704C51" w:rsidP="00704C51">
      <w:pPr>
        <w:tabs>
          <w:tab w:val="left" w:pos="6244"/>
        </w:tabs>
        <w:bidi/>
        <w:spacing w:after="0" w:line="240" w:lineRule="auto"/>
        <w:rPr>
          <w:rFonts w:cs="Arabic Transparent"/>
          <w:sz w:val="28"/>
          <w:szCs w:val="28"/>
          <w:rtl/>
          <w:lang w:bidi="ar-DZ"/>
        </w:rPr>
      </w:pPr>
    </w:p>
    <w:p w:rsidR="008E4A51" w:rsidRDefault="008E4A51" w:rsidP="008E4A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E4A51" w:rsidRPr="00D7630D" w:rsidRDefault="008E4A51" w:rsidP="008E4A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7630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توزيع المقرات لمناقشة مذكرات التخرج </w:t>
      </w:r>
    </w:p>
    <w:p w:rsidR="008E4A51" w:rsidRDefault="008E4A51" w:rsidP="008E4A51">
      <w:pPr>
        <w:pStyle w:val="Paragraphedeliste"/>
        <w:bidi/>
        <w:ind w:left="927" w:firstLine="489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 توزيع المقرات البيداغوجية لمناقشة مذكرات التخرج لطبية الماستر 2 دفعة جوان 2018 وفق الجدول التالي :</w:t>
      </w:r>
    </w:p>
    <w:p w:rsidR="008E4A51" w:rsidRDefault="008E4A51" w:rsidP="008E4A51">
      <w:pPr>
        <w:pStyle w:val="Paragraphedeliste"/>
        <w:bidi/>
        <w:ind w:left="927" w:firstLine="489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8345" w:type="dxa"/>
        <w:jc w:val="center"/>
        <w:tblInd w:w="1747" w:type="dxa"/>
        <w:tblLook w:val="04A0"/>
      </w:tblPr>
      <w:tblGrid>
        <w:gridCol w:w="3686"/>
        <w:gridCol w:w="4110"/>
        <w:gridCol w:w="549"/>
      </w:tblGrid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Salle</w:t>
            </w:r>
          </w:p>
        </w:tc>
        <w:tc>
          <w:tcPr>
            <w:tcW w:w="4110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Département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N°</w:t>
            </w:r>
          </w:p>
        </w:tc>
      </w:tr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8E4A51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de Master + Amphi 01</w:t>
            </w:r>
          </w:p>
        </w:tc>
        <w:tc>
          <w:tcPr>
            <w:tcW w:w="4110" w:type="dxa"/>
          </w:tcPr>
          <w:p w:rsidR="008E4A51" w:rsidRPr="00D7630D" w:rsidRDefault="008E4A51" w:rsidP="008E4A51">
            <w:pPr>
              <w:pStyle w:val="Paragraphedeliste"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Biologie et Ecologie Végétale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</w:t>
            </w:r>
          </w:p>
        </w:tc>
      </w:tr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8E4A51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de conférence+ Amphi 02</w:t>
            </w:r>
          </w:p>
        </w:tc>
        <w:tc>
          <w:tcPr>
            <w:tcW w:w="4110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Biologie Animale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</w:t>
            </w:r>
          </w:p>
        </w:tc>
      </w:tr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8E4A51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Salle Internet </w:t>
            </w:r>
            <w:r w:rsidR="00D7630D"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des </w:t>
            </w: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Etudiants</w:t>
            </w:r>
            <w:r w:rsidR="00D7630D"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+ Amphi 0</w:t>
            </w:r>
            <w:r w:rsidR="00D7630D"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  <w:tc>
          <w:tcPr>
            <w:tcW w:w="4110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Biologie  Appliquée 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</w:t>
            </w:r>
          </w:p>
        </w:tc>
      </w:tr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D7630D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Bioinformatique + Amphi 04</w:t>
            </w:r>
          </w:p>
        </w:tc>
        <w:tc>
          <w:tcPr>
            <w:tcW w:w="4110" w:type="dxa"/>
          </w:tcPr>
          <w:p w:rsidR="008E4A51" w:rsidRPr="00D7630D" w:rsidRDefault="00D7630D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Biochimie et Biologie Cellulaire et Moléculaire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</w:t>
            </w:r>
          </w:p>
        </w:tc>
      </w:tr>
      <w:tr w:rsidR="008E4A51" w:rsidRPr="00D7630D" w:rsidTr="00D7630D">
        <w:trPr>
          <w:jc w:val="center"/>
        </w:trPr>
        <w:tc>
          <w:tcPr>
            <w:tcW w:w="3686" w:type="dxa"/>
          </w:tcPr>
          <w:p w:rsidR="008E4A51" w:rsidRPr="00D7630D" w:rsidRDefault="00D7630D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Salle Internet des Enseignants  + Anphi05</w:t>
            </w:r>
          </w:p>
        </w:tc>
        <w:tc>
          <w:tcPr>
            <w:tcW w:w="4110" w:type="dxa"/>
          </w:tcPr>
          <w:p w:rsidR="008E4A51" w:rsidRPr="00D7630D" w:rsidRDefault="00D7630D" w:rsidP="00D7630D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Microbiologie</w:t>
            </w:r>
          </w:p>
        </w:tc>
        <w:tc>
          <w:tcPr>
            <w:tcW w:w="549" w:type="dxa"/>
          </w:tcPr>
          <w:p w:rsidR="008E4A51" w:rsidRPr="00D7630D" w:rsidRDefault="008E4A51" w:rsidP="008E4A51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D7630D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5</w:t>
            </w:r>
          </w:p>
        </w:tc>
      </w:tr>
    </w:tbl>
    <w:p w:rsidR="008E4A51" w:rsidRDefault="008E4A51" w:rsidP="008E4A51">
      <w:pPr>
        <w:pStyle w:val="Paragraphedeliste"/>
        <w:bidi/>
        <w:ind w:left="927" w:firstLine="489"/>
        <w:rPr>
          <w:rFonts w:asciiTheme="majorBidi" w:hAnsiTheme="majorBidi" w:cstheme="majorBidi"/>
          <w:sz w:val="28"/>
          <w:szCs w:val="28"/>
          <w:lang w:bidi="ar-DZ"/>
        </w:rPr>
      </w:pPr>
    </w:p>
    <w:p w:rsidR="008E4A51" w:rsidRPr="008E4A51" w:rsidRDefault="008E4A51" w:rsidP="008E4A51">
      <w:pPr>
        <w:pStyle w:val="Paragraphedeliste"/>
        <w:bidi/>
        <w:ind w:left="92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04C51" w:rsidRPr="00FB07BF" w:rsidRDefault="00704C51" w:rsidP="00704C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704C51" w:rsidRDefault="00704C51" w:rsidP="00704C51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704C51" w:rsidRDefault="00704C51" w:rsidP="00E94DC0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ذكر نائب العميد المكلف بالدراسات ما بعد التدرج و البحث العلمي و العلاقات الخارجية رؤساء الأقسام </w:t>
      </w:r>
      <w:r w:rsidR="00E94DC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با</w:t>
      </w:r>
      <w:r w:rsidR="0094349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لاجتماع  الذي تم عقده يوم الاثنين 28 ماي 2018 على الساعة 10 بقاعة الاجتماعات للكلية في حضور مساعدي رؤساء </w:t>
      </w:r>
      <w:r w:rsidR="00E94DC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الأقسام</w:t>
      </w:r>
      <w:r w:rsidR="0094349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المكلفين بالدراسات ما بعد التدرج </w:t>
      </w:r>
      <w:r w:rsidR="00E94DC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للاطلاع</w:t>
      </w:r>
      <w:r w:rsidR="0094349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تطبيق القوانين الجديدة المتعلقة بما يلي: </w:t>
      </w:r>
    </w:p>
    <w:p w:rsidR="00704C51" w:rsidRDefault="00704C51" w:rsidP="00704C51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التأهيل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الجامعي</w:t>
      </w:r>
    </w:p>
    <w:p w:rsidR="00704C51" w:rsidRDefault="00704C51" w:rsidP="00704C51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مناقشات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أطروحة الدكتوراه ( المنشورات العلمية ) </w:t>
      </w:r>
    </w:p>
    <w:p w:rsidR="00704C51" w:rsidRDefault="00704C51" w:rsidP="00704C51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*- مشارح البحث في التكوين الجامعي</w:t>
      </w:r>
    </w:p>
    <w:p w:rsidR="00704C51" w:rsidRDefault="00704C51" w:rsidP="00704C51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Programme de Recherche de Formation Universitaire</w:t>
      </w:r>
    </w:p>
    <w:p w:rsidR="00704C51" w:rsidRPr="00E94DC0" w:rsidRDefault="00704C51" w:rsidP="00E94DC0">
      <w:pPr>
        <w:bidi/>
        <w:spacing w:after="0" w:line="240" w:lineRule="auto"/>
        <w:ind w:firstLine="567"/>
        <w:jc w:val="both"/>
        <w:rPr>
          <w:sz w:val="28"/>
          <w:szCs w:val="28"/>
          <w:rtl/>
          <w:lang w:bidi="ar-DZ"/>
        </w:rPr>
      </w:pPr>
      <w:r w:rsidRPr="00CA0B99">
        <w:rPr>
          <w:rFonts w:hint="cs"/>
          <w:sz w:val="28"/>
          <w:szCs w:val="28"/>
          <w:rtl/>
        </w:rPr>
        <w:t xml:space="preserve">*- التكوين </w:t>
      </w:r>
      <w:proofErr w:type="spellStart"/>
      <w:r w:rsidRPr="00CA0B99">
        <w:rPr>
          <w:rFonts w:hint="cs"/>
          <w:sz w:val="28"/>
          <w:szCs w:val="28"/>
          <w:rtl/>
        </w:rPr>
        <w:t>الاقامي</w:t>
      </w:r>
      <w:proofErr w:type="spellEnd"/>
      <w:r w:rsidRPr="00CA0B99">
        <w:rPr>
          <w:rFonts w:hint="cs"/>
          <w:sz w:val="28"/>
          <w:szCs w:val="28"/>
          <w:rtl/>
        </w:rPr>
        <w:t xml:space="preserve"> </w:t>
      </w:r>
    </w:p>
    <w:p w:rsidR="00704C51" w:rsidRDefault="00704C51" w:rsidP="00704C51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D7630D" w:rsidRDefault="00D7630D" w:rsidP="00704C51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704C51" w:rsidRPr="00496AE7" w:rsidRDefault="004624B2" w:rsidP="00704C5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lastRenderedPageBreak/>
        <w:t>5</w:t>
      </w:r>
      <w:r w:rsidR="00704C5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-</w:t>
      </w:r>
      <w:r w:rsidR="00704C51"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</w:t>
      </w:r>
      <w:r w:rsidR="00704C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ضمان الجودة </w:t>
      </w:r>
      <w:r w:rsidR="00704C51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Assurance Qualité </w:t>
      </w:r>
    </w:p>
    <w:p w:rsidR="00704C51" w:rsidRPr="004624B2" w:rsidRDefault="00704C51" w:rsidP="00704C51">
      <w:pPr>
        <w:bidi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متابعة لعمل خلية ضمان الجودة على مستوى الكلية و مختلف 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لمختلف الشرائح المعنية بهذه العملية مرة 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أخرى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يلح عميد الكلية على رؤساء 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الأقسام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المساهمة الفعالة في عملية التقييم الذاتي و لا بد من م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شاركة الجميع و عليه التزام بالإجابة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على نموج 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الاستفسارات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المقدمة في 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أسرع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وقت</w:t>
      </w:r>
      <w:r w:rsidR="00943498" w:rsidRPr="004624B2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943498"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ذلك قبل 10 جوان </w:t>
      </w: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وفق الجدول التالي  :</w:t>
      </w:r>
    </w:p>
    <w:tbl>
      <w:tblPr>
        <w:tblStyle w:val="Grilledutableau"/>
        <w:tblW w:w="0" w:type="auto"/>
        <w:tblLook w:val="04A0"/>
      </w:tblPr>
      <w:tblGrid>
        <w:gridCol w:w="2660"/>
        <w:gridCol w:w="3425"/>
        <w:gridCol w:w="3043"/>
      </w:tblGrid>
      <w:tr w:rsidR="00704C51" w:rsidRPr="00943498" w:rsidTr="00943498">
        <w:tc>
          <w:tcPr>
            <w:tcW w:w="2660" w:type="dxa"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Département/ Faculté </w:t>
            </w:r>
          </w:p>
        </w:tc>
        <w:tc>
          <w:tcPr>
            <w:tcW w:w="3425" w:type="dxa"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Affectation</w:t>
            </w:r>
          </w:p>
        </w:tc>
        <w:tc>
          <w:tcPr>
            <w:tcW w:w="3043" w:type="dxa"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Code </w:t>
            </w:r>
          </w:p>
        </w:tc>
      </w:tr>
      <w:tr w:rsidR="00704C51" w:rsidRPr="00943498" w:rsidTr="00943498">
        <w:tc>
          <w:tcPr>
            <w:tcW w:w="2660" w:type="dxa"/>
            <w:vMerge w:val="restart"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 SNV</w:t>
            </w:r>
          </w:p>
        </w:tc>
        <w:tc>
          <w:tcPr>
            <w:tcW w:w="3425" w:type="dxa"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Sciences de la nature et de la vie</w:t>
            </w:r>
          </w:p>
        </w:tc>
        <w:tc>
          <w:tcPr>
            <w:tcW w:w="3043" w:type="dxa"/>
          </w:tcPr>
          <w:p w:rsidR="00704C51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704C51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acdep2017</w:t>
            </w:r>
          </w:p>
        </w:tc>
      </w:tr>
      <w:tr w:rsidR="00704C51" w:rsidRPr="00943498" w:rsidTr="00943498">
        <w:tc>
          <w:tcPr>
            <w:tcW w:w="2660" w:type="dxa"/>
            <w:vMerge/>
          </w:tcPr>
          <w:p w:rsidR="00704C51" w:rsidRPr="00943498" w:rsidRDefault="00704C51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704C51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704C51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ibliothèque</w:t>
            </w:r>
          </w:p>
        </w:tc>
        <w:tc>
          <w:tcPr>
            <w:tcW w:w="3043" w:type="dxa"/>
          </w:tcPr>
          <w:p w:rsidR="00704C51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</w:t>
            </w:r>
            <w:r w:rsidR="00704C51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20175</w:t>
            </w:r>
          </w:p>
        </w:tc>
      </w:tr>
      <w:tr w:rsidR="004309A2" w:rsidRPr="00943498" w:rsidTr="00943498">
        <w:tc>
          <w:tcPr>
            <w:tcW w:w="2660" w:type="dxa"/>
            <w:vMerge w:val="restart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Socle Commun</w:t>
            </w:r>
            <w:r w:rsid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SNV</w:t>
            </w:r>
          </w:p>
        </w:tc>
        <w:tc>
          <w:tcPr>
            <w:tcW w:w="3425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student30186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iblio3028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acdep30186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ef30186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Microbiologie</w:t>
            </w: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student30187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iblio3029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acdep30187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ef30187</w:t>
            </w:r>
          </w:p>
        </w:tc>
      </w:tr>
      <w:tr w:rsidR="004309A2" w:rsidRPr="00943498" w:rsidTr="00943498">
        <w:tc>
          <w:tcPr>
            <w:tcW w:w="2660" w:type="dxa"/>
            <w:vMerge w:val="restart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Biochimie et Biologie Cellulaire et Moléculaire</w:t>
            </w: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studet30188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iblio3030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acdep30188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ef30188</w:t>
            </w:r>
          </w:p>
        </w:tc>
      </w:tr>
      <w:tr w:rsidR="004309A2" w:rsidRPr="00943498" w:rsidTr="00943498">
        <w:tc>
          <w:tcPr>
            <w:tcW w:w="2660" w:type="dxa"/>
            <w:vMerge w:val="restart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Appliquée</w:t>
            </w: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student30189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iblio3031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acdep30189</w:t>
            </w:r>
          </w:p>
        </w:tc>
      </w:tr>
      <w:tr w:rsidR="004309A2" w:rsidRPr="00943498" w:rsidTr="00943498">
        <w:tc>
          <w:tcPr>
            <w:tcW w:w="2660" w:type="dxa"/>
            <w:vMerge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ef30189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Animale</w:t>
            </w: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student30190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iblio3032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acdep30190</w:t>
            </w:r>
          </w:p>
        </w:tc>
      </w:tr>
      <w:tr w:rsidR="004309A2" w:rsidRPr="00943498" w:rsidTr="00943498">
        <w:tc>
          <w:tcPr>
            <w:tcW w:w="2660" w:type="dxa"/>
          </w:tcPr>
          <w:p w:rsidR="004309A2" w:rsidRPr="00943498" w:rsidRDefault="004309A2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4309A2" w:rsidRPr="00943498" w:rsidRDefault="004309A2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4309A2" w:rsidRPr="00943498" w:rsidRDefault="00943498" w:rsidP="00704C5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</w:t>
            </w:r>
            <w:r w:rsidR="004309A2"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f30190</w:t>
            </w:r>
          </w:p>
        </w:tc>
      </w:tr>
      <w:tr w:rsidR="00943498" w:rsidRPr="00943498" w:rsidTr="00943498">
        <w:tc>
          <w:tcPr>
            <w:tcW w:w="2660" w:type="dxa"/>
            <w:vMerge w:val="restart"/>
          </w:tcPr>
          <w:p w:rsidR="00943498" w:rsidRPr="00943498" w:rsidRDefault="00943498" w:rsidP="004309A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Biologie et Ecologie Végétale</w:t>
            </w:r>
          </w:p>
        </w:tc>
        <w:tc>
          <w:tcPr>
            <w:tcW w:w="3425" w:type="dxa"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Etudiants</w:t>
            </w:r>
          </w:p>
        </w:tc>
        <w:tc>
          <w:tcPr>
            <w:tcW w:w="3043" w:type="dxa"/>
          </w:tcPr>
          <w:p w:rsidR="00943498" w:rsidRPr="00943498" w:rsidRDefault="00943498" w:rsidP="004309A2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student30191</w:t>
            </w:r>
          </w:p>
        </w:tc>
      </w:tr>
      <w:tr w:rsidR="00943498" w:rsidRPr="00943498" w:rsidTr="00943498">
        <w:tc>
          <w:tcPr>
            <w:tcW w:w="2660" w:type="dxa"/>
            <w:vMerge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Bibliothèque</w:t>
            </w:r>
          </w:p>
        </w:tc>
        <w:tc>
          <w:tcPr>
            <w:tcW w:w="3043" w:type="dxa"/>
          </w:tcPr>
          <w:p w:rsidR="00943498" w:rsidRPr="00943498" w:rsidRDefault="00943498" w:rsidP="0094349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biblio3033</w:t>
            </w:r>
          </w:p>
        </w:tc>
      </w:tr>
      <w:tr w:rsidR="00943498" w:rsidRPr="00943498" w:rsidTr="00943498">
        <w:tc>
          <w:tcPr>
            <w:tcW w:w="2660" w:type="dxa"/>
            <w:vMerge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Faculté/Département</w:t>
            </w:r>
          </w:p>
        </w:tc>
        <w:tc>
          <w:tcPr>
            <w:tcW w:w="3043" w:type="dxa"/>
          </w:tcPr>
          <w:p w:rsidR="00943498" w:rsidRPr="00943498" w:rsidRDefault="00943498" w:rsidP="0094349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facdep30191</w:t>
            </w:r>
          </w:p>
        </w:tc>
      </w:tr>
      <w:tr w:rsidR="00943498" w:rsidRPr="00943498" w:rsidTr="00943498">
        <w:tc>
          <w:tcPr>
            <w:tcW w:w="2660" w:type="dxa"/>
            <w:vMerge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425" w:type="dxa"/>
          </w:tcPr>
          <w:p w:rsidR="00943498" w:rsidRPr="00943498" w:rsidRDefault="00943498" w:rsidP="00307857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Equipe de formation</w:t>
            </w:r>
          </w:p>
        </w:tc>
        <w:tc>
          <w:tcPr>
            <w:tcW w:w="3043" w:type="dxa"/>
          </w:tcPr>
          <w:p w:rsidR="00943498" w:rsidRPr="00943498" w:rsidRDefault="00943498" w:rsidP="0094349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943498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ef30191</w:t>
            </w:r>
          </w:p>
        </w:tc>
      </w:tr>
    </w:tbl>
    <w:p w:rsidR="004624B2" w:rsidRDefault="00D7630D" w:rsidP="004624B2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624B2" w:rsidRPr="004624B2" w:rsidRDefault="004624B2" w:rsidP="004624B2">
      <w:pPr>
        <w:bidi/>
        <w:ind w:left="142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6-</w:t>
      </w:r>
      <w:proofErr w:type="gramStart"/>
      <w:r w:rsidRPr="004624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4624B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4624B2" w:rsidRPr="004624B2" w:rsidRDefault="004624B2" w:rsidP="004624B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4624B2">
        <w:rPr>
          <w:rFonts w:asciiTheme="majorBidi" w:hAnsiTheme="majorBidi" w:cstheme="majorBidi" w:hint="cs"/>
          <w:sz w:val="24"/>
          <w:szCs w:val="24"/>
          <w:rtl/>
          <w:lang w:bidi="ar-DZ"/>
        </w:rPr>
        <w:t>اطلع المجلس على ما يلي:</w:t>
      </w:r>
    </w:p>
    <w:p w:rsidR="004624B2" w:rsidRPr="004624B2" w:rsidRDefault="004624B2" w:rsidP="004624B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 w:rsidRPr="004624B2">
        <w:rPr>
          <w:rFonts w:asciiTheme="majorBidi" w:hAnsiTheme="majorBidi" w:cstheme="majorBidi" w:hint="cs"/>
          <w:rtl/>
          <w:lang w:bidi="ar-DZ"/>
        </w:rPr>
        <w:t xml:space="preserve">ملف الموظفة </w:t>
      </w:r>
      <w:proofErr w:type="spellStart"/>
      <w:r w:rsidRPr="004624B2">
        <w:rPr>
          <w:rFonts w:asciiTheme="majorBidi" w:hAnsiTheme="majorBidi" w:cstheme="majorBidi" w:hint="cs"/>
          <w:b/>
          <w:bCs/>
          <w:rtl/>
          <w:lang w:bidi="ar-DZ"/>
        </w:rPr>
        <w:t>دحدوح</w:t>
      </w:r>
      <w:proofErr w:type="spellEnd"/>
      <w:r w:rsidRPr="004624B2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proofErr w:type="spellStart"/>
      <w:r w:rsidRPr="004624B2">
        <w:rPr>
          <w:rFonts w:asciiTheme="majorBidi" w:hAnsiTheme="majorBidi" w:cstheme="majorBidi" w:hint="cs"/>
          <w:b/>
          <w:bCs/>
          <w:rtl/>
          <w:lang w:bidi="ar-DZ"/>
        </w:rPr>
        <w:t>امينة</w:t>
      </w:r>
      <w:proofErr w:type="spellEnd"/>
      <w:r w:rsidRPr="004624B2">
        <w:rPr>
          <w:rFonts w:asciiTheme="majorBidi" w:hAnsiTheme="majorBidi" w:cstheme="majorBidi" w:hint="cs"/>
          <w:rtl/>
          <w:lang w:bidi="ar-DZ"/>
        </w:rPr>
        <w:t xml:space="preserve"> و مسؤول مصلحة الانخراط السيد </w:t>
      </w:r>
      <w:r w:rsidRPr="004624B2">
        <w:rPr>
          <w:rFonts w:asciiTheme="majorBidi" w:hAnsiTheme="majorBidi" w:cstheme="majorBidi" w:hint="cs"/>
          <w:b/>
          <w:bCs/>
          <w:rtl/>
          <w:lang w:bidi="ar-DZ"/>
        </w:rPr>
        <w:t>بوطومو سمير</w:t>
      </w:r>
      <w:r>
        <w:rPr>
          <w:rFonts w:asciiTheme="majorBidi" w:hAnsiTheme="majorBidi" w:cstheme="majorBidi" w:hint="cs"/>
          <w:rtl/>
          <w:lang w:bidi="ar-DZ"/>
        </w:rPr>
        <w:t xml:space="preserve"> و الأستاذ </w:t>
      </w:r>
      <w:r w:rsidRPr="004624B2">
        <w:rPr>
          <w:rFonts w:asciiTheme="majorBidi" w:hAnsiTheme="majorBidi" w:cstheme="majorBidi" w:hint="cs"/>
          <w:b/>
          <w:bCs/>
          <w:rtl/>
          <w:lang w:bidi="ar-DZ"/>
        </w:rPr>
        <w:t xml:space="preserve">سفيان </w:t>
      </w:r>
      <w:proofErr w:type="spellStart"/>
      <w:r w:rsidRPr="004624B2">
        <w:rPr>
          <w:rFonts w:asciiTheme="majorBidi" w:hAnsiTheme="majorBidi" w:cstheme="majorBidi" w:hint="cs"/>
          <w:b/>
          <w:bCs/>
          <w:rtl/>
          <w:lang w:bidi="ar-DZ"/>
        </w:rPr>
        <w:t>هاروني</w:t>
      </w:r>
      <w:proofErr w:type="spellEnd"/>
      <w:r>
        <w:rPr>
          <w:rFonts w:asciiTheme="majorBidi" w:hAnsiTheme="majorBidi" w:cstheme="majorBidi" w:hint="cs"/>
          <w:rtl/>
          <w:lang w:bidi="ar-DZ"/>
        </w:rPr>
        <w:t xml:space="preserve"> مكلف بالتعليم على مستوى مصلحة الجذع المشترك لعلوم الطبيعة و الحياة </w:t>
      </w:r>
    </w:p>
    <w:p w:rsidR="004624B2" w:rsidRPr="004624B2" w:rsidRDefault="004624B2" w:rsidP="004624B2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 w:hint="cs"/>
          <w:lang w:bidi="ar-DZ"/>
        </w:rPr>
      </w:pPr>
      <w:r w:rsidRPr="004624B2">
        <w:rPr>
          <w:rFonts w:asciiTheme="majorBidi" w:hAnsiTheme="majorBidi" w:cstheme="majorBidi" w:hint="cs"/>
          <w:rtl/>
          <w:lang w:bidi="ar-DZ"/>
        </w:rPr>
        <w:t>ملف الإحالة على الاستيدا</w:t>
      </w:r>
      <w:r w:rsidRPr="004624B2">
        <w:rPr>
          <w:rFonts w:asciiTheme="majorBidi" w:hAnsiTheme="majorBidi" w:cstheme="majorBidi" w:hint="eastAsia"/>
          <w:rtl/>
          <w:lang w:bidi="ar-DZ"/>
        </w:rPr>
        <w:t>ع</w:t>
      </w:r>
      <w:r w:rsidRPr="004624B2">
        <w:rPr>
          <w:rFonts w:asciiTheme="majorBidi" w:hAnsiTheme="majorBidi" w:cstheme="majorBidi" w:hint="cs"/>
          <w:rtl/>
          <w:lang w:bidi="ar-DZ"/>
        </w:rPr>
        <w:t xml:space="preserve"> للأستاذة </w:t>
      </w:r>
      <w:proofErr w:type="gramStart"/>
      <w:r w:rsidRPr="004624B2">
        <w:rPr>
          <w:rFonts w:asciiTheme="majorBidi" w:hAnsiTheme="majorBidi" w:cstheme="majorBidi" w:hint="cs"/>
          <w:b/>
          <w:bCs/>
          <w:rtl/>
          <w:lang w:bidi="ar-DZ"/>
        </w:rPr>
        <w:t>غريبي</w:t>
      </w:r>
      <w:proofErr w:type="gramEnd"/>
      <w:r w:rsidRPr="004624B2">
        <w:rPr>
          <w:rFonts w:asciiTheme="majorBidi" w:hAnsiTheme="majorBidi" w:cstheme="majorBidi" w:hint="cs"/>
          <w:b/>
          <w:bCs/>
          <w:rtl/>
          <w:lang w:bidi="ar-DZ"/>
        </w:rPr>
        <w:t xml:space="preserve"> نفيسة نجوى</w:t>
      </w:r>
      <w:r>
        <w:rPr>
          <w:rFonts w:asciiTheme="majorBidi" w:hAnsiTheme="majorBidi" w:cstheme="majorBidi" w:hint="cs"/>
          <w:rtl/>
          <w:lang w:bidi="ar-DZ"/>
        </w:rPr>
        <w:t xml:space="preserve"> ي</w:t>
      </w:r>
      <w:r w:rsidRPr="004624B2">
        <w:rPr>
          <w:rFonts w:asciiTheme="majorBidi" w:hAnsiTheme="majorBidi" w:cstheme="majorBidi" w:hint="cs"/>
          <w:rtl/>
          <w:lang w:bidi="ar-DZ"/>
        </w:rPr>
        <w:t>كلف الأمين</w:t>
      </w:r>
      <w:r>
        <w:rPr>
          <w:rFonts w:asciiTheme="majorBidi" w:hAnsiTheme="majorBidi" w:cstheme="majorBidi" w:hint="cs"/>
          <w:rtl/>
          <w:lang w:bidi="ar-DZ"/>
        </w:rPr>
        <w:t xml:space="preserve"> ال</w:t>
      </w:r>
      <w:r w:rsidRPr="004624B2">
        <w:rPr>
          <w:rFonts w:asciiTheme="majorBidi" w:hAnsiTheme="majorBidi" w:cstheme="majorBidi" w:hint="cs"/>
          <w:rtl/>
          <w:lang w:bidi="ar-DZ"/>
        </w:rPr>
        <w:t>ع</w:t>
      </w:r>
      <w:r>
        <w:rPr>
          <w:rFonts w:asciiTheme="majorBidi" w:hAnsiTheme="majorBidi" w:cstheme="majorBidi" w:hint="cs"/>
          <w:rtl/>
          <w:lang w:bidi="ar-DZ"/>
        </w:rPr>
        <w:t>ا</w:t>
      </w:r>
      <w:r w:rsidRPr="004624B2">
        <w:rPr>
          <w:rFonts w:asciiTheme="majorBidi" w:hAnsiTheme="majorBidi" w:cstheme="majorBidi" w:hint="cs"/>
          <w:rtl/>
          <w:lang w:bidi="ar-DZ"/>
        </w:rPr>
        <w:t xml:space="preserve">م للكلية بمتابعة الملف </w:t>
      </w:r>
    </w:p>
    <w:p w:rsidR="004624B2" w:rsidRPr="004624B2" w:rsidRDefault="004624B2" w:rsidP="004624B2">
      <w:pPr>
        <w:pStyle w:val="Paragraphedeliste"/>
        <w:bidi/>
        <w:rPr>
          <w:rFonts w:asciiTheme="majorBidi" w:hAnsiTheme="majorBidi" w:cstheme="majorBidi"/>
          <w:lang w:bidi="ar-DZ"/>
        </w:rPr>
      </w:pPr>
    </w:p>
    <w:p w:rsidR="00704C51" w:rsidRPr="004624B2" w:rsidRDefault="00704C51" w:rsidP="004624B2">
      <w:pPr>
        <w:pStyle w:val="Paragraphedeliste"/>
        <w:bidi/>
        <w:ind w:left="1778" w:firstLine="346"/>
        <w:rPr>
          <w:rFonts w:asciiTheme="majorBidi" w:hAnsiTheme="majorBidi" w:cstheme="majorBidi"/>
          <w:rtl/>
          <w:lang w:bidi="ar-DZ"/>
        </w:rPr>
      </w:pPr>
      <w:r w:rsidRPr="004624B2">
        <w:rPr>
          <w:rFonts w:asciiTheme="majorBidi" w:hAnsiTheme="majorBidi" w:cstheme="majorBidi"/>
          <w:rtl/>
          <w:lang w:bidi="ar-DZ"/>
        </w:rPr>
        <w:t>أغلق المحضر على الساعة</w:t>
      </w:r>
      <w:r w:rsidRPr="004624B2">
        <w:rPr>
          <w:rFonts w:asciiTheme="majorBidi" w:hAnsiTheme="majorBidi" w:cstheme="majorBidi" w:hint="cs"/>
          <w:rtl/>
          <w:lang w:bidi="ar-DZ"/>
        </w:rPr>
        <w:t>30</w:t>
      </w:r>
      <w:r w:rsidRPr="004624B2">
        <w:rPr>
          <w:rFonts w:asciiTheme="majorBidi" w:hAnsiTheme="majorBidi" w:cstheme="majorBidi"/>
          <w:rtl/>
          <w:lang w:bidi="ar-DZ"/>
        </w:rPr>
        <w:t xml:space="preserve"> </w:t>
      </w:r>
      <w:r w:rsidRPr="004624B2">
        <w:rPr>
          <w:rFonts w:asciiTheme="majorBidi" w:hAnsiTheme="majorBidi" w:cstheme="majorBidi"/>
          <w:lang w:bidi="ar-DZ"/>
        </w:rPr>
        <w:t>12h</w:t>
      </w:r>
      <w:r w:rsidRPr="004624B2">
        <w:rPr>
          <w:rFonts w:asciiTheme="majorBidi" w:hAnsiTheme="majorBidi" w:cstheme="majorBidi"/>
          <w:rtl/>
          <w:lang w:bidi="ar-DZ"/>
        </w:rPr>
        <w:t xml:space="preserve"> و رفعت الجلسة</w:t>
      </w:r>
    </w:p>
    <w:p w:rsidR="00704C51" w:rsidRPr="004624B2" w:rsidRDefault="00704C51" w:rsidP="00704C51">
      <w:pPr>
        <w:bidi/>
        <w:rPr>
          <w:sz w:val="16"/>
          <w:szCs w:val="16"/>
          <w:rtl/>
          <w:lang w:bidi="ar-DZ"/>
        </w:rPr>
      </w:pPr>
    </w:p>
    <w:p w:rsidR="00704C51" w:rsidRPr="00EF46C6" w:rsidRDefault="00704C51" w:rsidP="00E94DC0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94DC0">
        <w:rPr>
          <w:rFonts w:hint="cs"/>
          <w:b/>
          <w:bCs/>
          <w:sz w:val="28"/>
          <w:szCs w:val="28"/>
          <w:rtl/>
          <w:lang w:bidi="ar-DZ"/>
        </w:rPr>
        <w:t>29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ماي  2018</w:t>
      </w:r>
    </w:p>
    <w:p w:rsidR="00704C51" w:rsidRDefault="00704C51" w:rsidP="00704C51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704C51" w:rsidRPr="000A0138" w:rsidRDefault="00704C51" w:rsidP="00704C51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704C51" w:rsidRDefault="00704C51" w:rsidP="00704C51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704C51" w:rsidRPr="008160FC" w:rsidRDefault="00704C51" w:rsidP="00704C51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704C51" w:rsidRPr="005E1520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704C51" w:rsidRPr="00690E16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704C51" w:rsidRPr="005E1520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704C51" w:rsidRPr="005E1520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lastRenderedPageBreak/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704C51" w:rsidRPr="005E1520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704C51" w:rsidRPr="005E1520" w:rsidRDefault="00704C51" w:rsidP="00704C5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704C51" w:rsidRPr="005E1520" w:rsidRDefault="00704C51" w:rsidP="00704C51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704C51" w:rsidRDefault="00704C51" w:rsidP="00704C51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704C51" w:rsidRDefault="00704C51" w:rsidP="00704C51"/>
    <w:p w:rsidR="00704C51" w:rsidRDefault="00704C51" w:rsidP="00704C51">
      <w:pPr>
        <w:rPr>
          <w:rtl/>
        </w:rPr>
      </w:pPr>
    </w:p>
    <w:p w:rsidR="00704C51" w:rsidRDefault="00704C51" w:rsidP="00704C51">
      <w:pPr>
        <w:rPr>
          <w:rtl/>
        </w:rPr>
      </w:pPr>
    </w:p>
    <w:p w:rsidR="00704C51" w:rsidRDefault="00704C51" w:rsidP="00704C51">
      <w:pPr>
        <w:rPr>
          <w:rtl/>
        </w:rPr>
      </w:pPr>
    </w:p>
    <w:p w:rsidR="00704C51" w:rsidRDefault="00704C51" w:rsidP="00704C51"/>
    <w:p w:rsidR="00704C51" w:rsidRDefault="00704C51" w:rsidP="00704C51"/>
    <w:p w:rsidR="00704C51" w:rsidRDefault="00704C51" w:rsidP="00704C51"/>
    <w:p w:rsidR="00704C51" w:rsidRDefault="00704C51" w:rsidP="00704C51"/>
    <w:p w:rsidR="00704C51" w:rsidRDefault="00704C51" w:rsidP="00704C51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B60"/>
    <w:multiLevelType w:val="hybridMultilevel"/>
    <w:tmpl w:val="95B8451A"/>
    <w:lvl w:ilvl="0" w:tplc="70C22D4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9B187E"/>
    <w:multiLevelType w:val="hybridMultilevel"/>
    <w:tmpl w:val="6F20939E"/>
    <w:lvl w:ilvl="0" w:tplc="11542B32">
      <w:start w:val="97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DA2"/>
    <w:multiLevelType w:val="hybridMultilevel"/>
    <w:tmpl w:val="A0D489AA"/>
    <w:lvl w:ilvl="0" w:tplc="1A24579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704C51"/>
    <w:rsid w:val="002074C2"/>
    <w:rsid w:val="004309A2"/>
    <w:rsid w:val="004624B2"/>
    <w:rsid w:val="00504335"/>
    <w:rsid w:val="00631B36"/>
    <w:rsid w:val="00704C51"/>
    <w:rsid w:val="00705255"/>
    <w:rsid w:val="008E4A51"/>
    <w:rsid w:val="00943498"/>
    <w:rsid w:val="00D7630D"/>
    <w:rsid w:val="00DE4E07"/>
    <w:rsid w:val="00E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5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04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704C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5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7AD6-8DF8-41A5-AD1F-FA51925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2018-05-30T06:57:00Z</dcterms:created>
  <dcterms:modified xsi:type="dcterms:W3CDTF">2018-06-04T07:43:00Z</dcterms:modified>
</cp:coreProperties>
</file>