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ED" w:rsidRDefault="007A3864" w:rsidP="00115AED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7A38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115AED" w:rsidRDefault="00115AED" w:rsidP="00115AED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115AED" w:rsidRDefault="00115AED" w:rsidP="00115AED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115AED" w:rsidRDefault="00115AED" w:rsidP="00115AED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7A3864">
        <w:rPr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115AED" w:rsidRDefault="00115AED" w:rsidP="00115AED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115AED" w:rsidRDefault="00115AED" w:rsidP="00115AED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115AED" w:rsidRDefault="00115AED" w:rsidP="00115AED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115AED" w:rsidRDefault="00115AED" w:rsidP="00115AE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15AED" w:rsidRDefault="007A3864" w:rsidP="00115AED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115AED" w:rsidRDefault="00115AED" w:rsidP="00115AE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115AED" w:rsidRDefault="00115AED" w:rsidP="00115AE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115AED" w:rsidRDefault="00115AED" w:rsidP="00115AE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115AED" w:rsidRDefault="00115AED" w:rsidP="00115AED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115AED" w:rsidRDefault="007A3864" w:rsidP="00115AED">
      <w:pPr>
        <w:rPr>
          <w:sz w:val="16"/>
          <w:szCs w:val="16"/>
          <w:rtl/>
          <w:lang w:bidi="ar-DZ"/>
        </w:rPr>
      </w:pPr>
      <w:r w:rsidRPr="007A3864">
        <w:rPr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115AED" w:rsidRDefault="00115AED" w:rsidP="00115AED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115AED" w:rsidRDefault="00115AED" w:rsidP="00115AED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115AED" w:rsidRDefault="00115AED" w:rsidP="00115AED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115AED" w:rsidRPr="00AB7522" w:rsidRDefault="00115AED" w:rsidP="00115AED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115AED" w:rsidRPr="00311D8B" w:rsidRDefault="00115AED" w:rsidP="00115AED">
      <w:pPr>
        <w:bidi/>
        <w:rPr>
          <w:rFonts w:cs="Arabic Transparent"/>
          <w:b/>
          <w:bCs/>
          <w:sz w:val="24"/>
          <w:szCs w:val="24"/>
          <w:rtl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120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2017</w:t>
      </w:r>
    </w:p>
    <w:p w:rsidR="00115AED" w:rsidRPr="00EF46C6" w:rsidRDefault="00115AED" w:rsidP="00115AED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الثلاثاء 30  جانفي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115AED" w:rsidRDefault="00115AED" w:rsidP="00115AED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22</w:t>
      </w:r>
    </w:p>
    <w:p w:rsidR="00115AED" w:rsidRPr="004E4977" w:rsidRDefault="00115AED" w:rsidP="00115AED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115AED" w:rsidRDefault="00115AED" w:rsidP="00115AED">
      <w:pPr>
        <w:bidi/>
        <w:ind w:right="-426" w:firstLine="708"/>
        <w:rPr>
          <w:sz w:val="28"/>
          <w:szCs w:val="28"/>
          <w:rtl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الثلاثين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جانفي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 xml:space="preserve">ثمانية عشر في الساعة </w:t>
      </w:r>
      <w:r>
        <w:rPr>
          <w:sz w:val="28"/>
          <w:szCs w:val="28"/>
          <w:lang w:bidi="ar-DZ"/>
        </w:rPr>
        <w:t>11h</w:t>
      </w:r>
      <w:r>
        <w:rPr>
          <w:rFonts w:hint="cs"/>
          <w:sz w:val="28"/>
          <w:szCs w:val="28"/>
          <w:rtl/>
          <w:lang w:bidi="ar-DZ"/>
        </w:rPr>
        <w:t xml:space="preserve">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115AED" w:rsidRPr="00EF46C6" w:rsidRDefault="00115AED" w:rsidP="00115AED">
      <w:pPr>
        <w:bidi/>
        <w:ind w:right="-540" w:firstLine="708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الطاقم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الإداري</w:t>
      </w:r>
    </w:p>
    <w:p w:rsidR="00115AED" w:rsidRDefault="00115AED" w:rsidP="00115AED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115AED" w:rsidRDefault="00115AED" w:rsidP="00115AED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</w:p>
    <w:p w:rsidR="00115AED" w:rsidRPr="00EF46C6" w:rsidRDefault="00115AED" w:rsidP="00115AED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115AED" w:rsidRDefault="00115AED" w:rsidP="00115AED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115AED" w:rsidRDefault="00115AED" w:rsidP="00115AED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</w:t>
      </w:r>
    </w:p>
    <w:p w:rsidR="00115AED" w:rsidRDefault="00115AED" w:rsidP="00115AED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</w:t>
      </w:r>
      <w:proofErr w:type="spellStart"/>
      <w:r>
        <w:rPr>
          <w:rFonts w:hint="cs"/>
          <w:b/>
          <w:bCs/>
          <w:rtl/>
          <w:lang w:bidi="ar-DZ"/>
        </w:rPr>
        <w:t>ابراهيم</w:t>
      </w:r>
      <w:proofErr w:type="spellEnd"/>
      <w:r>
        <w:rPr>
          <w:rFonts w:hint="cs"/>
          <w:b/>
          <w:bCs/>
          <w:rtl/>
          <w:lang w:bidi="ar-DZ"/>
        </w:rPr>
        <w:t xml:space="preserve">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  <w:r w:rsidRPr="00FF2AAB">
        <w:rPr>
          <w:rFonts w:hint="cs"/>
          <w:b/>
          <w:bCs/>
          <w:rtl/>
          <w:lang w:bidi="ar-DZ"/>
        </w:rPr>
        <w:t xml:space="preserve"> </w:t>
      </w:r>
    </w:p>
    <w:p w:rsidR="00115AED" w:rsidRDefault="00115AED" w:rsidP="00115AED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قاسم شاوش نور الدين       رئيس قسم البيولوجيا التطبيقية </w:t>
      </w:r>
    </w:p>
    <w:p w:rsidR="00115AED" w:rsidRDefault="00115AED" w:rsidP="00115AED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</w:p>
    <w:p w:rsidR="00115AED" w:rsidRDefault="00115AED" w:rsidP="00115AED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مجروبي محمد العربي         مسؤول خلية الوساطة بالكلية</w:t>
      </w:r>
    </w:p>
    <w:p w:rsidR="00115AED" w:rsidRDefault="00115AED" w:rsidP="00115AED">
      <w:pPr>
        <w:bidi/>
        <w:spacing w:after="0" w:line="240" w:lineRule="auto"/>
        <w:jc w:val="both"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سلوقي</w:t>
      </w:r>
      <w:proofErr w:type="spellEnd"/>
      <w:r>
        <w:rPr>
          <w:rFonts w:hint="cs"/>
          <w:b/>
          <w:bCs/>
          <w:rtl/>
          <w:lang w:bidi="ar-DZ"/>
        </w:rPr>
        <w:t xml:space="preserve"> صادق                  مسؤول المخابر بالكلية </w:t>
      </w:r>
    </w:p>
    <w:p w:rsidR="00115AED" w:rsidRDefault="00115AED" w:rsidP="00115AED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115AED" w:rsidRDefault="00115AED" w:rsidP="00115AED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الغائبون </w:t>
      </w:r>
    </w:p>
    <w:p w:rsidR="00115AED" w:rsidRDefault="00115AED" w:rsidP="00115AED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مرايحية جمال               </w:t>
      </w:r>
      <w:r w:rsidRPr="00EF46C6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Pr="00EF46C6">
        <w:rPr>
          <w:rFonts w:hint="cs"/>
          <w:b/>
          <w:bCs/>
          <w:rtl/>
        </w:rPr>
        <w:t xml:space="preserve">نائب العميد مكلف بالبيداغوجيا و المسائل المرتبطة بالطلبة </w:t>
      </w:r>
      <w:r>
        <w:rPr>
          <w:rFonts w:hint="cs"/>
          <w:b/>
          <w:bCs/>
          <w:rtl/>
        </w:rPr>
        <w:t>( بعذر )</w:t>
      </w:r>
    </w:p>
    <w:p w:rsidR="00115AED" w:rsidRDefault="00115AED" w:rsidP="00115AED">
      <w:pPr>
        <w:bidi/>
        <w:spacing w:after="0"/>
        <w:rPr>
          <w:b/>
          <w:bCs/>
          <w:rtl/>
        </w:rPr>
      </w:pPr>
      <w:r w:rsidRPr="00190CE6">
        <w:rPr>
          <w:rFonts w:hint="cs"/>
          <w:b/>
          <w:bCs/>
          <w:rtl/>
          <w:lang w:bidi="ar-DZ"/>
        </w:rPr>
        <w:t xml:space="preserve">بوطومو سمير </w:t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 w:rsidRPr="00190CE6">
        <w:rPr>
          <w:rFonts w:hint="cs"/>
          <w:b/>
          <w:bCs/>
          <w:rtl/>
          <w:lang w:bidi="ar-DZ"/>
        </w:rPr>
        <w:t>رئيس مصلحة الانخراط</w:t>
      </w:r>
      <w:r>
        <w:rPr>
          <w:rFonts w:hint="cs"/>
          <w:b/>
          <w:bCs/>
          <w:rtl/>
          <w:lang w:bidi="ar-DZ"/>
        </w:rPr>
        <w:t xml:space="preserve"> ( بعذر )</w:t>
      </w:r>
    </w:p>
    <w:p w:rsidR="00115AED" w:rsidRPr="00832A65" w:rsidRDefault="00115AED" w:rsidP="00115AED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115AED" w:rsidRPr="008450E0" w:rsidRDefault="00115AED" w:rsidP="00115AED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115AED" w:rsidRPr="00B86832" w:rsidRDefault="00115AED" w:rsidP="00B86832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البيداغوجيا</w:t>
      </w:r>
      <w:r w:rsidRPr="00B8683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115AED" w:rsidRDefault="00115AED" w:rsidP="00115AE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115AED" w:rsidRPr="00C55AE4" w:rsidRDefault="00115AED" w:rsidP="00B86832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الدراسات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  <w:r w:rsidRPr="00C55AE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115AED" w:rsidRPr="00FB72DB" w:rsidRDefault="00115AED" w:rsidP="00115AE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115AED" w:rsidRDefault="00115AED" w:rsidP="00115AED">
      <w:pPr>
        <w:bidi/>
        <w:rPr>
          <w:b/>
          <w:bCs/>
          <w:sz w:val="28"/>
          <w:szCs w:val="28"/>
          <w:rtl/>
          <w:lang w:bidi="ar-DZ"/>
        </w:rPr>
      </w:pPr>
    </w:p>
    <w:p w:rsidR="00115AED" w:rsidRDefault="00115AED" w:rsidP="00115AED">
      <w:pPr>
        <w:bidi/>
        <w:spacing w:after="0" w:line="240" w:lineRule="auto"/>
        <w:rPr>
          <w:b/>
          <w:bCs/>
          <w:sz w:val="28"/>
          <w:szCs w:val="28"/>
          <w:lang w:bidi="ar-DZ"/>
        </w:rPr>
      </w:pPr>
    </w:p>
    <w:p w:rsidR="00B86832" w:rsidRDefault="00B86832" w:rsidP="00B86832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B86832" w:rsidRDefault="00B86832" w:rsidP="00B86832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B86832" w:rsidRDefault="00B86832" w:rsidP="00B86832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B86832" w:rsidRDefault="00B86832" w:rsidP="00B86832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B86832" w:rsidRDefault="00B86832" w:rsidP="00B86832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B86832" w:rsidRDefault="00B86832" w:rsidP="00B86832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B86832" w:rsidRDefault="00B86832" w:rsidP="00B86832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115AED" w:rsidRDefault="00115AED" w:rsidP="00115AED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البيداغوجيا </w:t>
      </w:r>
    </w:p>
    <w:p w:rsidR="00115AED" w:rsidRPr="00635BEE" w:rsidRDefault="00115AED" w:rsidP="00115AED">
      <w:pPr>
        <w:bidi/>
        <w:spacing w:after="0"/>
        <w:ind w:firstLine="64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35B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حصيلة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النشاطات البيداغوجية للأسبوع الأول </w:t>
      </w:r>
    </w:p>
    <w:p w:rsidR="00115AED" w:rsidRPr="00635BEE" w:rsidRDefault="00115AED" w:rsidP="00B538DB">
      <w:pPr>
        <w:bidi/>
        <w:spacing w:after="0" w:line="240" w:lineRule="auto"/>
        <w:ind w:firstLine="36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635B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قدم رؤساء الأقسام حصيلة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النشاطات البيداغوجية التي انطلقت يوم الأحد </w:t>
      </w:r>
      <w:r w:rsidR="00B538DB">
        <w:rPr>
          <w:rFonts w:asciiTheme="majorBidi" w:hAnsiTheme="majorBidi" w:cstheme="majorBidi"/>
          <w:sz w:val="24"/>
          <w:szCs w:val="24"/>
          <w:lang w:bidi="ar-DZ"/>
        </w:rPr>
        <w:t>28</w:t>
      </w:r>
      <w:r w:rsidR="00B538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جانفي 2018 للسداسي الثاني من الموسم الجامعي 2017/2018 </w:t>
      </w:r>
      <w:r w:rsidRPr="00635B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وفق ما يلي: </w:t>
      </w:r>
    </w:p>
    <w:p w:rsidR="00115AED" w:rsidRPr="00635BEE" w:rsidRDefault="00115AED" w:rsidP="00115AED">
      <w:pPr>
        <w:bidi/>
        <w:spacing w:after="0"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115AED" w:rsidRPr="00635BEE" w:rsidRDefault="00115AED" w:rsidP="00115AED">
      <w:pPr>
        <w:pStyle w:val="Paragraphedeliste"/>
        <w:bidi/>
        <w:ind w:left="358"/>
        <w:rPr>
          <w:rFonts w:asciiTheme="majorBidi" w:hAnsiTheme="majorBidi" w:cstheme="majorBidi"/>
          <w:b/>
          <w:bCs/>
          <w:lang w:bidi="ar-DZ"/>
        </w:rPr>
      </w:pPr>
    </w:p>
    <w:tbl>
      <w:tblPr>
        <w:tblpPr w:leftFromText="141" w:rightFromText="141" w:vertAnchor="page" w:horzAnchor="margin" w:tblpXSpec="center" w:tblpY="2518"/>
        <w:bidiVisual/>
        <w:tblW w:w="8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559"/>
        <w:gridCol w:w="1559"/>
        <w:gridCol w:w="1418"/>
      </w:tblGrid>
      <w:tr w:rsidR="00115AED" w:rsidRPr="00635BEE" w:rsidTr="00115AED">
        <w:trPr>
          <w:trHeight w:val="89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15AED" w:rsidRPr="00377A48" w:rsidRDefault="00115AED" w:rsidP="00115AE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القســــــم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5AED" w:rsidRPr="00377A48" w:rsidRDefault="00115AED" w:rsidP="00115AE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عدد  </w:t>
            </w:r>
            <w:r w:rsidRPr="00377A4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الحصص</w:t>
            </w:r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المبرمجة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115AED" w:rsidRPr="00377A48" w:rsidRDefault="00115AED" w:rsidP="00115AE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عدد  </w:t>
            </w:r>
            <w:r w:rsidRPr="00377A4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الحصص </w:t>
            </w:r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المنجزة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5AED" w:rsidRPr="00377A48" w:rsidRDefault="00115AED" w:rsidP="00115AE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(%)</w:t>
            </w:r>
          </w:p>
        </w:tc>
      </w:tr>
      <w:tr w:rsidR="00B538DB" w:rsidRPr="00635BEE" w:rsidTr="00115AED">
        <w:trPr>
          <w:trHeight w:val="145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8DB" w:rsidRPr="00377A48" w:rsidRDefault="00B538DB" w:rsidP="00B538D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377A48">
              <w:rPr>
                <w:rFonts w:asciiTheme="majorBidi" w:hAnsiTheme="majorBidi" w:cstheme="majorBidi"/>
                <w:rtl/>
                <w:lang w:bidi="ar-DZ"/>
              </w:rPr>
              <w:t>الجذع</w:t>
            </w:r>
            <w:proofErr w:type="gramEnd"/>
            <w:r w:rsidRPr="00377A48">
              <w:rPr>
                <w:rFonts w:asciiTheme="majorBidi" w:hAnsiTheme="majorBidi" w:cstheme="majorBidi"/>
                <w:rtl/>
                <w:lang w:bidi="ar-DZ"/>
              </w:rPr>
              <w:t xml:space="preserve"> المشترك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39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92.85 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ar-DZ"/>
              </w:rPr>
              <w:t>%</w:t>
            </w:r>
          </w:p>
        </w:tc>
      </w:tr>
      <w:tr w:rsidR="00B538DB" w:rsidRPr="00635BEE" w:rsidTr="00115AED">
        <w:trPr>
          <w:trHeight w:val="121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8DB" w:rsidRPr="00377A48" w:rsidRDefault="00B538DB" w:rsidP="00B538D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rtl/>
                <w:lang w:bidi="ar-DZ"/>
              </w:rPr>
              <w:t>بيولوجيا الحيوان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38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86.36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ar-DZ"/>
              </w:rPr>
              <w:t>%</w:t>
            </w:r>
          </w:p>
        </w:tc>
      </w:tr>
      <w:tr w:rsidR="00B538DB" w:rsidRPr="00635BEE" w:rsidTr="00115AED">
        <w:trPr>
          <w:trHeight w:val="89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8DB" w:rsidRPr="00377A48" w:rsidRDefault="00B538DB" w:rsidP="00B538D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rtl/>
                <w:lang w:val="en-US" w:bidi="ar-DZ"/>
              </w:rPr>
              <w:t>البيولوجيا و علم البيئة النباتية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34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94.44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ar-DZ"/>
              </w:rPr>
              <w:t>%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</w:p>
        </w:tc>
      </w:tr>
      <w:tr w:rsidR="00B538DB" w:rsidRPr="00635BEE" w:rsidTr="00115AED">
        <w:trPr>
          <w:trHeight w:val="89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8DB" w:rsidRPr="00377A48" w:rsidRDefault="00B538DB" w:rsidP="00B538D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rtl/>
                <w:lang w:bidi="ar-DZ"/>
              </w:rPr>
              <w:t>الكيمياء الحيوية و البيولوجيا الجزيئية و الخلوية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13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65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ar-DZ"/>
              </w:rPr>
              <w:t>%</w:t>
            </w:r>
          </w:p>
        </w:tc>
      </w:tr>
      <w:tr w:rsidR="00B538DB" w:rsidRPr="00635BEE" w:rsidTr="00115AED">
        <w:trPr>
          <w:trHeight w:val="82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8DB" w:rsidRPr="00377A48" w:rsidRDefault="00B538DB" w:rsidP="00B538D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rtl/>
                <w:lang w:bidi="ar-DZ"/>
              </w:rPr>
              <w:t>الميكروبيولوجيا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17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65.38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ar-DZ"/>
              </w:rPr>
              <w:t>%</w:t>
            </w:r>
          </w:p>
        </w:tc>
      </w:tr>
      <w:tr w:rsidR="00B538DB" w:rsidRPr="00635BEE" w:rsidTr="00115AED">
        <w:trPr>
          <w:trHeight w:val="115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8DB" w:rsidRPr="00377A48" w:rsidRDefault="00B538DB" w:rsidP="00B538D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rtl/>
                <w:lang w:bidi="ar-DZ"/>
              </w:rPr>
              <w:t>البيولوجيا التطبيقية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15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lang w:bidi="ar-DZ"/>
              </w:rPr>
              <w:t>68.18</w:t>
            </w:r>
            <w:r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ar-DZ"/>
              </w:rPr>
              <w:t>%</w:t>
            </w:r>
          </w:p>
        </w:tc>
      </w:tr>
      <w:tr w:rsidR="00B538DB" w:rsidRPr="00635BEE" w:rsidTr="00115AED">
        <w:trPr>
          <w:trHeight w:val="153"/>
        </w:trPr>
        <w:tc>
          <w:tcPr>
            <w:tcW w:w="3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8DB" w:rsidRPr="00377A48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الكليـة</w:t>
            </w:r>
            <w:proofErr w:type="gramEnd"/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190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156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8DB" w:rsidRDefault="00B538DB" w:rsidP="00B538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82.10</w:t>
            </w:r>
            <w:r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%</w:t>
            </w:r>
          </w:p>
        </w:tc>
      </w:tr>
    </w:tbl>
    <w:p w:rsidR="00115AED" w:rsidRPr="00635BEE" w:rsidRDefault="00115AED" w:rsidP="00115AED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15AED" w:rsidRPr="00635BEE" w:rsidRDefault="00115AED" w:rsidP="00115AED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15AED" w:rsidRPr="00635BEE" w:rsidRDefault="00115AED" w:rsidP="00115AED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15AED" w:rsidRPr="00635BEE" w:rsidRDefault="00115AED" w:rsidP="00115AED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15AED" w:rsidRPr="00635BEE" w:rsidRDefault="00115AED" w:rsidP="00115AED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15AED" w:rsidRPr="00635BEE" w:rsidRDefault="00115AED" w:rsidP="00115AED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15AED" w:rsidRPr="00635BEE" w:rsidRDefault="00115AED" w:rsidP="00115AED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15AED" w:rsidRPr="00635BEE" w:rsidRDefault="00115AED" w:rsidP="00115AED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15AED" w:rsidRPr="00635BEE" w:rsidRDefault="00115AED" w:rsidP="00115AED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E1AC0" w:rsidRDefault="009E1AC0" w:rsidP="00115AED">
      <w:pPr>
        <w:pStyle w:val="Paragraphedeliste"/>
        <w:tabs>
          <w:tab w:val="left" w:pos="6244"/>
        </w:tabs>
        <w:bidi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9B00BC" w:rsidRDefault="009B00BC" w:rsidP="009B00BC">
      <w:pPr>
        <w:pStyle w:val="Paragraphedeliste"/>
        <w:tabs>
          <w:tab w:val="left" w:pos="6244"/>
        </w:tabs>
        <w:bidi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115AED" w:rsidRDefault="009E1AC0" w:rsidP="009E1AC0">
      <w:pPr>
        <w:pStyle w:val="Paragraphedeliste"/>
        <w:tabs>
          <w:tab w:val="left" w:pos="6244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9E1AC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</w:t>
      </w:r>
      <w:proofErr w:type="spellStart"/>
      <w:r w:rsidR="009B00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رقمنة</w:t>
      </w:r>
      <w:proofErr w:type="spellEnd"/>
      <w:r w:rsidR="009B00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</w:t>
      </w:r>
      <w:r w:rsidRPr="009E1AC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B00BC" w:rsidRPr="009E1AC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إعداد</w:t>
      </w:r>
      <w:r w:rsidRPr="009E1AC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 </w:t>
      </w:r>
      <w:r w:rsidR="009B00BC" w:rsidRPr="009E1AC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إجراء</w:t>
      </w:r>
      <w:r w:rsidRPr="009E1AC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، تصحيح ، تقييم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</w:t>
      </w:r>
      <w:r w:rsidRPr="009E1AC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معاينة الامتحانات</w:t>
      </w:r>
      <w:r w:rsidRP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9E1AC0" w:rsidRDefault="009E1AC0" w:rsidP="009B00BC">
      <w:pPr>
        <w:pStyle w:val="Paragraphedeliste"/>
        <w:tabs>
          <w:tab w:val="left" w:pos="6244"/>
        </w:tabs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>Automatisation </w:t>
      </w:r>
      <w:r w:rsidR="007D44A2" w:rsidRP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  <w:r w:rsidR="007D44A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Préparation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,</w:t>
      </w:r>
      <w:r w:rsidR="009B00B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Organisation,</w:t>
      </w:r>
      <w:r w:rsidR="009B00B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Correction</w:t>
      </w:r>
      <w:r w:rsidRP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>,</w:t>
      </w:r>
      <w:r w:rsidR="007D44A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Evaluation et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C</w:t>
      </w:r>
      <w:r w:rsidRP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>onsultation des Examens</w:t>
      </w:r>
    </w:p>
    <w:p w:rsidR="009B00BC" w:rsidRPr="009E1AC0" w:rsidRDefault="009B00BC" w:rsidP="009B00BC">
      <w:pPr>
        <w:pStyle w:val="Paragraphedeliste"/>
        <w:tabs>
          <w:tab w:val="left" w:pos="6244"/>
        </w:tabs>
        <w:bidi/>
        <w:jc w:val="center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9E1AC0" w:rsidRDefault="009B00BC" w:rsidP="008C4B64">
      <w:pPr>
        <w:pStyle w:val="Paragraphedeliste"/>
        <w:tabs>
          <w:tab w:val="left" w:pos="6244"/>
        </w:tabs>
        <w:bidi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إطار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إضفاء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شفافية تامة لتقيم و تقويم الطلبة ، اتخذت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إجراءات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طرق حديثة في كيفية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إعداد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إجراء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تصحيح ، تقيم و معا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ينة أوراق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الامتحانات باستعمال الوسائل التكنولوجية من خلال </w:t>
      </w:r>
      <w:proofErr w:type="spellStart"/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>رقمنة</w:t>
      </w:r>
      <w:proofErr w:type="spellEnd"/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هذه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الأخيرة</w:t>
      </w:r>
      <w:r w:rsidR="009E1AC0" w:rsidRP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>Automatisation :</w:t>
      </w:r>
      <w:r w:rsid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>P</w:t>
      </w:r>
      <w:r w:rsidR="009E1AC0" w:rsidRP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réparation , </w:t>
      </w:r>
      <w:r w:rsid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>O</w:t>
      </w:r>
      <w:r w:rsidR="009E1AC0" w:rsidRP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rganisation, Correction ,Evaluation et </w:t>
      </w:r>
      <w:r w:rsid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>C</w:t>
      </w:r>
      <w:r w:rsidR="009E1AC0" w:rsidRPr="009E1AC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onsultation des Examens </w:t>
      </w:r>
      <w:r w:rsidR="009E1AC0" w:rsidRPr="009E1AC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>و لقد تم تطبيقها في ثلاث مواد تعليمية على مستوى الجذع المشترك حيث العدد الهائل من الطلبة و عليه كانت النتائج ايجابية لق</w:t>
      </w:r>
      <w:r w:rsidR="008C4B64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>ت ارتياح</w:t>
      </w:r>
      <w:r w:rsidR="008C4B64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لدى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أوساط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الطلبة و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الأساتذة</w:t>
      </w:r>
      <w:r w:rsidR="008C4B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توفير ل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لوقت و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إضفاء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شفافية تامة في التصحيح و </w:t>
      </w:r>
      <w:r w:rsidR="007D44A2">
        <w:rPr>
          <w:rFonts w:asciiTheme="majorBidi" w:hAnsiTheme="majorBidi" w:cstheme="majorBidi" w:hint="cs"/>
          <w:sz w:val="28"/>
          <w:szCs w:val="28"/>
          <w:rtl/>
          <w:lang w:bidi="ar-DZ"/>
        </w:rPr>
        <w:t>ك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ذا معاينة الطالب لورقة </w:t>
      </w:r>
      <w:proofErr w:type="spellStart"/>
      <w:r w:rsidR="008C4B64">
        <w:rPr>
          <w:rFonts w:asciiTheme="majorBidi" w:hAnsiTheme="majorBidi" w:cstheme="majorBidi" w:hint="cs"/>
          <w:sz w:val="28"/>
          <w:szCs w:val="28"/>
          <w:rtl/>
          <w:lang w:bidi="ar-DZ"/>
        </w:rPr>
        <w:t>اجابته</w:t>
      </w:r>
      <w:proofErr w:type="spellEnd"/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وفقا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للإجابة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النموذجية دون عناء باستخدامه كلمة المرور الشخصية له برقم يسلم له من طرف اللجنة البيداغوجية الساهرة على العملية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C4B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عن طرق الرابط في شبكة الانترنت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طلب من رؤساء الأقسام تعميم </w:t>
      </w:r>
      <w:r w:rsidR="008C4B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هذه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التجربة على مستوى جميع المواد و الوحدات التعليمية لمختلف التخصصات في مرحلتي الليسانس و الماستر </w:t>
      </w:r>
      <w:r w:rsidR="009E1A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9B00BC" w:rsidRPr="00635BEE" w:rsidRDefault="009B00BC" w:rsidP="009B00BC">
      <w:pPr>
        <w:pStyle w:val="Paragraphedeliste"/>
        <w:tabs>
          <w:tab w:val="left" w:pos="6244"/>
        </w:tabs>
        <w:bidi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115AED" w:rsidRDefault="00115AED" w:rsidP="00B8683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فريق ميدان التكوين لعلوم الطبيعة و الحياة </w:t>
      </w:r>
    </w:p>
    <w:p w:rsidR="009B00BC" w:rsidRDefault="009B00BC" w:rsidP="009B00BC">
      <w:pPr>
        <w:pStyle w:val="Paragraphedeliste"/>
        <w:bidi/>
        <w:ind w:left="928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115AED" w:rsidRDefault="00115AED" w:rsidP="00DA5B06">
      <w:pPr>
        <w:bidi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733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نيابة </w:t>
      </w:r>
      <w:r w:rsidR="00D733B0" w:rsidRPr="00D733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عن مسؤول فريق ميدان التكوين لعلوم الطبيعة و الحياة </w:t>
      </w:r>
      <w:r w:rsidR="00D733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قدم </w:t>
      </w:r>
      <w:r w:rsidR="00D733B0" w:rsidRPr="00D733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عميد الكلية </w:t>
      </w:r>
      <w:r w:rsidR="00D733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حصيلة </w:t>
      </w:r>
      <w:r w:rsidR="00D733B0" w:rsidRPr="00D733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الاجتماع الذي تم  يوم الاثنين 29 جانفي 2018 مع مسئولي الاختصاص في مرحلتي الليسانس و الماستر </w:t>
      </w:r>
      <w:r w:rsidR="00D733B0">
        <w:rPr>
          <w:rFonts w:asciiTheme="majorBidi" w:hAnsiTheme="majorBidi" w:cstheme="majorBidi" w:hint="cs"/>
          <w:sz w:val="28"/>
          <w:szCs w:val="28"/>
          <w:rtl/>
          <w:lang w:bidi="ar-DZ"/>
        </w:rPr>
        <w:t>وفق النقاط التالية</w:t>
      </w:r>
    </w:p>
    <w:p w:rsidR="00D733B0" w:rsidRDefault="00D733B0" w:rsidP="00D733B0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Etat des lieux des formations</w:t>
      </w:r>
    </w:p>
    <w:p w:rsidR="00D733B0" w:rsidRDefault="00D733B0" w:rsidP="00D733B0">
      <w:pPr>
        <w:pStyle w:val="Paragraphedeliste"/>
        <w:numPr>
          <w:ilvl w:val="1"/>
          <w:numId w:val="9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De la mise en conformité</w:t>
      </w:r>
    </w:p>
    <w:p w:rsidR="00D733B0" w:rsidRDefault="00D733B0" w:rsidP="00D733B0">
      <w:pPr>
        <w:pStyle w:val="Paragraphedeliste"/>
        <w:numPr>
          <w:ilvl w:val="1"/>
          <w:numId w:val="9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De l’harmonisation</w:t>
      </w:r>
    </w:p>
    <w:p w:rsidR="00D733B0" w:rsidRDefault="00D733B0" w:rsidP="00D733B0">
      <w:pPr>
        <w:pStyle w:val="Paragraphedeliste"/>
        <w:numPr>
          <w:ilvl w:val="1"/>
          <w:numId w:val="9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Indicateurs d’évaluation de la performance des offres de formation</w:t>
      </w:r>
    </w:p>
    <w:p w:rsidR="00D733B0" w:rsidRDefault="00D733B0" w:rsidP="00D733B0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Révision des intitulés des formations en relation avec la visibilité de l’offre</w:t>
      </w:r>
    </w:p>
    <w:p w:rsidR="00D733B0" w:rsidRDefault="00D733B0" w:rsidP="00D733B0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Numérisation des offres de formation</w:t>
      </w:r>
    </w:p>
    <w:p w:rsidR="00D733B0" w:rsidRDefault="00D733B0" w:rsidP="00D733B0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Révision des textes 711 et 712 </w:t>
      </w:r>
      <w:r w:rsidR="00DA5B06">
        <w:rPr>
          <w:rFonts w:asciiTheme="majorBidi" w:hAnsiTheme="majorBidi" w:cstheme="majorBidi"/>
          <w:sz w:val="28"/>
          <w:szCs w:val="28"/>
          <w:lang w:bidi="ar-DZ"/>
        </w:rPr>
        <w:t>(évaluation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et progression)</w:t>
      </w:r>
    </w:p>
    <w:p w:rsidR="00D733B0" w:rsidRDefault="00D733B0" w:rsidP="00D733B0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Admission avec dette</w:t>
      </w:r>
    </w:p>
    <w:p w:rsidR="00D733B0" w:rsidRDefault="00D733B0" w:rsidP="00D733B0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Révision des programmes des licences et de master</w:t>
      </w:r>
    </w:p>
    <w:p w:rsidR="00D733B0" w:rsidRPr="00D733B0" w:rsidRDefault="00D733B0" w:rsidP="00D733B0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Système national de crédits pour les licences</w:t>
      </w:r>
    </w:p>
    <w:p w:rsidR="00D733B0" w:rsidRDefault="00D733B0" w:rsidP="00D733B0">
      <w:pPr>
        <w:pStyle w:val="Paragraphedeliste"/>
        <w:bidi/>
        <w:ind w:left="1004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9B00BC" w:rsidRDefault="009B00BC" w:rsidP="009B00BC">
      <w:pPr>
        <w:pStyle w:val="Paragraphedeliste"/>
        <w:bidi/>
        <w:ind w:left="1004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9B00BC" w:rsidRPr="00115AED" w:rsidRDefault="009B00BC" w:rsidP="009B00BC">
      <w:pPr>
        <w:pStyle w:val="Paragraphedeliste"/>
        <w:bidi/>
        <w:ind w:left="1004"/>
        <w:rPr>
          <w:rFonts w:asciiTheme="majorBidi" w:hAnsiTheme="majorBidi" w:cstheme="majorBidi"/>
          <w:sz w:val="28"/>
          <w:szCs w:val="28"/>
          <w:lang w:bidi="ar-DZ"/>
        </w:rPr>
      </w:pPr>
    </w:p>
    <w:p w:rsidR="00115AED" w:rsidRPr="00115AED" w:rsidRDefault="00115AED" w:rsidP="00B8683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115AE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115AE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 </w:t>
      </w:r>
    </w:p>
    <w:p w:rsidR="00115AED" w:rsidRPr="001114B6" w:rsidRDefault="00115AED" w:rsidP="00115AED">
      <w:pPr>
        <w:bidi/>
        <w:spacing w:after="0" w:line="240" w:lineRule="auto"/>
        <w:ind w:left="644"/>
        <w:rPr>
          <w:rFonts w:asciiTheme="majorBidi" w:hAnsiTheme="majorBidi" w:cstheme="majorBidi"/>
          <w:b/>
          <w:bCs/>
          <w:lang w:bidi="ar-DZ"/>
        </w:rPr>
      </w:pPr>
    </w:p>
    <w:p w:rsidR="00DA5B06" w:rsidRPr="00B86832" w:rsidRDefault="00115CA1" w:rsidP="00B86832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115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أيام الدكتوراه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2018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Doctoriales</w:t>
      </w:r>
    </w:p>
    <w:p w:rsidR="00115CA1" w:rsidRDefault="00115CA1" w:rsidP="00115CA1">
      <w:pPr>
        <w:bidi/>
        <w:ind w:left="708"/>
        <w:rPr>
          <w:rFonts w:asciiTheme="majorBidi" w:hAnsiTheme="majorBidi" w:cstheme="majorBidi"/>
          <w:sz w:val="28"/>
          <w:szCs w:val="28"/>
          <w:lang w:bidi="ar-DZ"/>
        </w:rPr>
      </w:pPr>
      <w:r w:rsidRPr="00115CA1">
        <w:rPr>
          <w:rFonts w:asciiTheme="majorBidi" w:hAnsiTheme="majorBidi" w:cstheme="majorBidi" w:hint="cs"/>
          <w:sz w:val="28"/>
          <w:szCs w:val="28"/>
          <w:rtl/>
          <w:lang w:bidi="ar-DZ"/>
        </w:rPr>
        <w:t>تم تسطير برنامج التظاهرة العلمية لأيام الدكتوراه 2018 وفق الجدول التالي :</w:t>
      </w:r>
    </w:p>
    <w:tbl>
      <w:tblPr>
        <w:tblStyle w:val="Grilledutableau"/>
        <w:tblpPr w:leftFromText="141" w:rightFromText="141" w:vertAnchor="text" w:horzAnchor="margin" w:tblpY="1"/>
        <w:bidiVisual/>
        <w:tblW w:w="0" w:type="auto"/>
        <w:tblLook w:val="04A0"/>
      </w:tblPr>
      <w:tblGrid>
        <w:gridCol w:w="2977"/>
        <w:gridCol w:w="1559"/>
        <w:gridCol w:w="1418"/>
        <w:gridCol w:w="2835"/>
        <w:gridCol w:w="675"/>
      </w:tblGrid>
      <w:tr w:rsidR="00B86832" w:rsidTr="00B86832">
        <w:tc>
          <w:tcPr>
            <w:tcW w:w="2977" w:type="dxa"/>
          </w:tcPr>
          <w:p w:rsidR="00B86832" w:rsidRDefault="00B86832" w:rsidP="00B86832">
            <w:pPr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Lieu</w:t>
            </w:r>
          </w:p>
        </w:tc>
        <w:tc>
          <w:tcPr>
            <w:tcW w:w="1559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heures</w:t>
            </w:r>
          </w:p>
        </w:tc>
        <w:tc>
          <w:tcPr>
            <w:tcW w:w="1418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Datte </w:t>
            </w:r>
          </w:p>
        </w:tc>
        <w:tc>
          <w:tcPr>
            <w:tcW w:w="283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Départements</w:t>
            </w:r>
          </w:p>
        </w:tc>
        <w:tc>
          <w:tcPr>
            <w:tcW w:w="67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N°</w:t>
            </w:r>
          </w:p>
        </w:tc>
      </w:tr>
      <w:tr w:rsidR="00B86832" w:rsidTr="00B86832">
        <w:tc>
          <w:tcPr>
            <w:tcW w:w="2977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de conférences</w:t>
            </w:r>
          </w:p>
        </w:tc>
        <w:tc>
          <w:tcPr>
            <w:tcW w:w="1559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9 h-14 h</w:t>
            </w:r>
          </w:p>
        </w:tc>
        <w:tc>
          <w:tcPr>
            <w:tcW w:w="1418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25/02/2018</w:t>
            </w:r>
          </w:p>
        </w:tc>
        <w:tc>
          <w:tcPr>
            <w:tcW w:w="283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Biologie Appliquée</w:t>
            </w:r>
          </w:p>
        </w:tc>
        <w:tc>
          <w:tcPr>
            <w:tcW w:w="67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01</w:t>
            </w:r>
          </w:p>
        </w:tc>
      </w:tr>
      <w:tr w:rsidR="00B86832" w:rsidTr="00B86832">
        <w:tc>
          <w:tcPr>
            <w:tcW w:w="2977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internet des Enseignants</w:t>
            </w:r>
          </w:p>
        </w:tc>
        <w:tc>
          <w:tcPr>
            <w:tcW w:w="1559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9 h-14 h</w:t>
            </w:r>
          </w:p>
        </w:tc>
        <w:tc>
          <w:tcPr>
            <w:tcW w:w="1418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25/02/2018</w:t>
            </w:r>
          </w:p>
        </w:tc>
        <w:tc>
          <w:tcPr>
            <w:tcW w:w="283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Microbiologie</w:t>
            </w:r>
          </w:p>
        </w:tc>
        <w:tc>
          <w:tcPr>
            <w:tcW w:w="67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02</w:t>
            </w:r>
          </w:p>
        </w:tc>
      </w:tr>
      <w:tr w:rsidR="00B86832" w:rsidTr="00B86832">
        <w:tc>
          <w:tcPr>
            <w:tcW w:w="2977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de Conférences</w:t>
            </w:r>
          </w:p>
        </w:tc>
        <w:tc>
          <w:tcPr>
            <w:tcW w:w="1559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9 h-16 h</w:t>
            </w:r>
          </w:p>
        </w:tc>
        <w:tc>
          <w:tcPr>
            <w:tcW w:w="1418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26/02/2018</w:t>
            </w:r>
          </w:p>
        </w:tc>
        <w:tc>
          <w:tcPr>
            <w:tcW w:w="283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Biologie et Ecologie végétale</w:t>
            </w:r>
          </w:p>
        </w:tc>
        <w:tc>
          <w:tcPr>
            <w:tcW w:w="67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03</w:t>
            </w:r>
          </w:p>
        </w:tc>
      </w:tr>
      <w:tr w:rsidR="00B86832" w:rsidTr="00B86832">
        <w:tc>
          <w:tcPr>
            <w:tcW w:w="2977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de conférences</w:t>
            </w:r>
          </w:p>
        </w:tc>
        <w:tc>
          <w:tcPr>
            <w:tcW w:w="1559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9h -16 h</w:t>
            </w:r>
          </w:p>
        </w:tc>
        <w:tc>
          <w:tcPr>
            <w:tcW w:w="1418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27/02/2018</w:t>
            </w:r>
          </w:p>
        </w:tc>
        <w:tc>
          <w:tcPr>
            <w:tcW w:w="283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Biochimie et biologie Cellulaire et Moléculaire</w:t>
            </w:r>
          </w:p>
        </w:tc>
        <w:tc>
          <w:tcPr>
            <w:tcW w:w="67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04</w:t>
            </w:r>
          </w:p>
        </w:tc>
      </w:tr>
      <w:tr w:rsidR="00B86832" w:rsidTr="00B86832">
        <w:tc>
          <w:tcPr>
            <w:tcW w:w="2977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Salle de conférences </w:t>
            </w:r>
          </w:p>
        </w:tc>
        <w:tc>
          <w:tcPr>
            <w:tcW w:w="1559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9h -14 h</w:t>
            </w:r>
          </w:p>
        </w:tc>
        <w:tc>
          <w:tcPr>
            <w:tcW w:w="1418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28/02/2018</w:t>
            </w:r>
          </w:p>
        </w:tc>
        <w:tc>
          <w:tcPr>
            <w:tcW w:w="283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Biologie Animale</w:t>
            </w:r>
          </w:p>
        </w:tc>
        <w:tc>
          <w:tcPr>
            <w:tcW w:w="675" w:type="dxa"/>
          </w:tcPr>
          <w:p w:rsidR="00B86832" w:rsidRDefault="00B86832" w:rsidP="00B8683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05</w:t>
            </w:r>
          </w:p>
        </w:tc>
      </w:tr>
    </w:tbl>
    <w:p w:rsidR="00B86832" w:rsidRDefault="00B86832" w:rsidP="00B86832">
      <w:pPr>
        <w:pStyle w:val="Paragraphedeliste"/>
        <w:bidi/>
        <w:ind w:left="180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0D7501" w:rsidRDefault="000D7501" w:rsidP="000D7501">
      <w:pPr>
        <w:pStyle w:val="Paragraphedeliste"/>
        <w:bidi/>
        <w:ind w:left="180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A1729" w:rsidRDefault="00BA1729" w:rsidP="00B86832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رزنامة اجتماعات اللجان العلمية و المجلس العلمي ( 2017/2018 )</w:t>
      </w:r>
    </w:p>
    <w:p w:rsidR="00BA1729" w:rsidRDefault="00BA1729" w:rsidP="00DA5B06">
      <w:pPr>
        <w:bidi/>
        <w:spacing w:after="0" w:line="240" w:lineRule="auto"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BA1729">
        <w:rPr>
          <w:rFonts w:asciiTheme="majorBidi" w:hAnsiTheme="majorBidi" w:cstheme="majorBidi" w:hint="cs"/>
          <w:sz w:val="28"/>
          <w:szCs w:val="28"/>
          <w:rtl/>
          <w:lang w:bidi="ar-DZ"/>
        </w:rPr>
        <w:t>قدم نائب العميد</w:t>
      </w:r>
      <w:r w:rsidR="00DA5B0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رزنامة اجتماعات المجلس العلمي للكلية التي ستعقد خلال الموسم الجامعي 2017/2018  وفق ما يلي : </w:t>
      </w:r>
    </w:p>
    <w:p w:rsidR="00DA5B06" w:rsidRPr="00DA5B06" w:rsidRDefault="00DA5B06" w:rsidP="00B86832">
      <w:pPr>
        <w:spacing w:after="0" w:line="240" w:lineRule="auto"/>
        <w:jc w:val="center"/>
        <w:rPr>
          <w:rFonts w:cstheme="majorBidi"/>
          <w:b/>
          <w:bCs/>
          <w:i/>
          <w:iCs/>
          <w:sz w:val="24"/>
          <w:szCs w:val="24"/>
          <w:lang w:bidi="ar-DZ"/>
        </w:rPr>
      </w:pPr>
      <w:r w:rsidRPr="00DA5B06">
        <w:rPr>
          <w:rFonts w:cstheme="majorBidi"/>
          <w:b/>
          <w:bCs/>
          <w:i/>
          <w:iCs/>
          <w:sz w:val="24"/>
          <w:szCs w:val="24"/>
          <w:lang w:bidi="ar-DZ"/>
        </w:rPr>
        <w:t>PLANNING DES REUINIONSDU CONSEIL SCIENTIFIQUE DE FACULTE</w:t>
      </w:r>
    </w:p>
    <w:p w:rsidR="00DA5B06" w:rsidRPr="00DA5B06" w:rsidRDefault="00DA5B06" w:rsidP="00B86832">
      <w:pPr>
        <w:spacing w:after="0" w:line="240" w:lineRule="auto"/>
        <w:rPr>
          <w:rFonts w:cstheme="majorBidi"/>
          <w:b/>
          <w:bCs/>
          <w:i/>
          <w:iCs/>
          <w:color w:val="365F91" w:themeColor="accent1" w:themeShade="BF"/>
          <w:sz w:val="24"/>
          <w:szCs w:val="24"/>
          <w:lang w:bidi="ar-DZ"/>
        </w:rPr>
      </w:pPr>
      <w:r w:rsidRPr="00DA5B06">
        <w:rPr>
          <w:rFonts w:cstheme="majorBidi"/>
          <w:b/>
          <w:bCs/>
          <w:i/>
          <w:iCs/>
          <w:color w:val="365F91" w:themeColor="accent1" w:themeShade="BF"/>
          <w:sz w:val="24"/>
          <w:szCs w:val="24"/>
          <w:u w:val="single"/>
          <w:lang w:bidi="ar-DZ"/>
        </w:rPr>
        <w:t>Mercredi07 Mars 2018</w:t>
      </w:r>
    </w:p>
    <w:p w:rsidR="00DA5B06" w:rsidRPr="00DA5B06" w:rsidRDefault="00DA5B06" w:rsidP="00B86832">
      <w:pPr>
        <w:pStyle w:val="Paragraphedeliste"/>
        <w:numPr>
          <w:ilvl w:val="0"/>
          <w:numId w:val="11"/>
        </w:numPr>
        <w:rPr>
          <w:rFonts w:cstheme="majorBidi"/>
          <w:b/>
          <w:bCs/>
          <w:i/>
          <w:iCs/>
          <w:color w:val="365F91" w:themeColor="accent1" w:themeShade="BF"/>
          <w:lang w:bidi="ar-DZ"/>
        </w:rPr>
      </w:pPr>
      <w:r w:rsidRPr="00DA5B06">
        <w:rPr>
          <w:rFonts w:cstheme="majorBidi"/>
          <w:lang w:bidi="ar-DZ"/>
        </w:rPr>
        <w:t xml:space="preserve"> Bilan 1</w:t>
      </w:r>
      <w:r w:rsidRPr="00DA5B06">
        <w:rPr>
          <w:rFonts w:cstheme="majorBidi"/>
          <w:vertAlign w:val="superscript"/>
          <w:lang w:bidi="ar-DZ"/>
        </w:rPr>
        <w:t>er</w:t>
      </w:r>
      <w:r w:rsidRPr="00DA5B06">
        <w:rPr>
          <w:rFonts w:cstheme="majorBidi"/>
          <w:lang w:bidi="ar-DZ"/>
        </w:rPr>
        <w:t xml:space="preserve"> Semestre 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 xml:space="preserve">Propositions des recrutements-Enseignants &amp; Personnel 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>Validation Offres de formation  Doctorales 3</w:t>
      </w:r>
      <w:r w:rsidRPr="00DA5B06">
        <w:rPr>
          <w:rFonts w:cstheme="majorBidi"/>
          <w:vertAlign w:val="superscript"/>
          <w:lang w:bidi="ar-DZ"/>
        </w:rPr>
        <w:t>éme</w:t>
      </w:r>
      <w:r w:rsidRPr="00DA5B06">
        <w:rPr>
          <w:rFonts w:cstheme="majorBidi"/>
          <w:lang w:bidi="ar-DZ"/>
        </w:rPr>
        <w:t xml:space="preserve"> Cycle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>Agrément de Jury de soutenances de thèses</w:t>
      </w:r>
    </w:p>
    <w:p w:rsidR="00DA5B06" w:rsidRDefault="00DA5B06" w:rsidP="00B86832">
      <w:pPr>
        <w:pStyle w:val="Paragraphedeliste"/>
        <w:numPr>
          <w:ilvl w:val="0"/>
          <w:numId w:val="10"/>
        </w:numPr>
        <w:rPr>
          <w:rFonts w:cstheme="majorBidi" w:hint="cs"/>
          <w:lang w:bidi="ar-DZ"/>
        </w:rPr>
      </w:pPr>
      <w:r w:rsidRPr="00DA5B06">
        <w:rPr>
          <w:rFonts w:cstheme="majorBidi"/>
          <w:lang w:bidi="ar-DZ"/>
        </w:rPr>
        <w:t>Divers</w:t>
      </w:r>
    </w:p>
    <w:p w:rsidR="009B00BC" w:rsidRPr="00DA5B06" w:rsidRDefault="009B00BC" w:rsidP="009B00BC">
      <w:pPr>
        <w:pStyle w:val="Paragraphedeliste"/>
        <w:rPr>
          <w:rFonts w:cstheme="majorBidi"/>
          <w:lang w:bidi="ar-DZ"/>
        </w:rPr>
      </w:pPr>
    </w:p>
    <w:p w:rsidR="00DA5B06" w:rsidRPr="00DA5B06" w:rsidRDefault="00DA5B06" w:rsidP="00B86832">
      <w:pPr>
        <w:spacing w:after="0" w:line="240" w:lineRule="auto"/>
        <w:rPr>
          <w:rFonts w:cstheme="majorBidi"/>
          <w:b/>
          <w:bCs/>
          <w:i/>
          <w:iCs/>
          <w:color w:val="365F91" w:themeColor="accent1" w:themeShade="BF"/>
          <w:sz w:val="24"/>
          <w:szCs w:val="24"/>
          <w:u w:val="single"/>
          <w:lang w:bidi="ar-DZ"/>
        </w:rPr>
      </w:pPr>
      <w:r w:rsidRPr="00DA5B06">
        <w:rPr>
          <w:rFonts w:cstheme="majorBidi"/>
          <w:b/>
          <w:bCs/>
          <w:i/>
          <w:iCs/>
          <w:color w:val="365F91" w:themeColor="accent1" w:themeShade="BF"/>
          <w:sz w:val="24"/>
          <w:szCs w:val="24"/>
          <w:u w:val="single"/>
          <w:lang w:bidi="ar-DZ"/>
        </w:rPr>
        <w:t>Mardi 12 Juin 2018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>Bilan et Organisation de la fin de l’année universitaire 2017/2018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 xml:space="preserve"> Préparation de l’année universitaire 2018/2019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 xml:space="preserve"> Agrément de Jury de soutenances de thèses</w:t>
      </w:r>
    </w:p>
    <w:p w:rsidR="00DA5B06" w:rsidRDefault="00DA5B06" w:rsidP="00B86832">
      <w:pPr>
        <w:pStyle w:val="Paragraphedeliste"/>
        <w:numPr>
          <w:ilvl w:val="0"/>
          <w:numId w:val="10"/>
        </w:numPr>
        <w:rPr>
          <w:rFonts w:cstheme="majorBidi" w:hint="cs"/>
          <w:lang w:bidi="ar-DZ"/>
        </w:rPr>
      </w:pPr>
      <w:r w:rsidRPr="00DA5B06">
        <w:rPr>
          <w:rFonts w:cstheme="majorBidi"/>
          <w:lang w:bidi="ar-DZ"/>
        </w:rPr>
        <w:t xml:space="preserve"> Divers</w:t>
      </w:r>
    </w:p>
    <w:p w:rsidR="009B00BC" w:rsidRPr="00DA5B06" w:rsidRDefault="009B00BC" w:rsidP="009B00BC">
      <w:pPr>
        <w:pStyle w:val="Paragraphedeliste"/>
        <w:rPr>
          <w:rFonts w:cstheme="majorBidi"/>
          <w:lang w:bidi="ar-DZ"/>
        </w:rPr>
      </w:pPr>
    </w:p>
    <w:p w:rsidR="00DA5B06" w:rsidRPr="00DA5B06" w:rsidRDefault="00DA5B06" w:rsidP="00B86832">
      <w:pPr>
        <w:spacing w:after="0" w:line="240" w:lineRule="auto"/>
        <w:rPr>
          <w:rFonts w:cstheme="majorBidi"/>
          <w:b/>
          <w:bCs/>
          <w:i/>
          <w:iCs/>
          <w:color w:val="365F91" w:themeColor="accent1" w:themeShade="BF"/>
          <w:sz w:val="24"/>
          <w:szCs w:val="24"/>
          <w:u w:val="single"/>
          <w:lang w:bidi="ar-DZ"/>
        </w:rPr>
      </w:pPr>
      <w:r w:rsidRPr="00DA5B06">
        <w:rPr>
          <w:rFonts w:cstheme="majorBidi"/>
          <w:b/>
          <w:bCs/>
          <w:i/>
          <w:iCs/>
          <w:color w:val="365F91" w:themeColor="accent1" w:themeShade="BF"/>
          <w:sz w:val="24"/>
          <w:szCs w:val="24"/>
          <w:u w:val="single"/>
          <w:lang w:bidi="ar-DZ"/>
        </w:rPr>
        <w:t>Lundi 17 Septembre 2018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>Agrément de Jury de soutenances de thèses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>Bilan, renouvellement et proposition de projets de Recherche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>Proposition d’ouverture de laboratoire de recherche</w:t>
      </w:r>
    </w:p>
    <w:p w:rsidR="00DA5B06" w:rsidRDefault="00DA5B06" w:rsidP="00B86832">
      <w:pPr>
        <w:pStyle w:val="Paragraphedeliste"/>
        <w:numPr>
          <w:ilvl w:val="0"/>
          <w:numId w:val="10"/>
        </w:numPr>
        <w:rPr>
          <w:rFonts w:cstheme="majorBidi" w:hint="cs"/>
          <w:lang w:bidi="ar-DZ"/>
        </w:rPr>
      </w:pPr>
      <w:r w:rsidRPr="00DA5B06">
        <w:rPr>
          <w:rFonts w:cstheme="majorBidi"/>
          <w:lang w:bidi="ar-DZ"/>
        </w:rPr>
        <w:t>Divers</w:t>
      </w:r>
    </w:p>
    <w:p w:rsidR="009B00BC" w:rsidRPr="00DA5B06" w:rsidRDefault="009B00BC" w:rsidP="009B00BC">
      <w:pPr>
        <w:pStyle w:val="Paragraphedeliste"/>
        <w:rPr>
          <w:rFonts w:cstheme="majorBidi"/>
          <w:lang w:bidi="ar-DZ"/>
        </w:rPr>
      </w:pPr>
    </w:p>
    <w:p w:rsidR="00DA5B06" w:rsidRPr="00DA5B06" w:rsidRDefault="00DA5B06" w:rsidP="00B86832">
      <w:pPr>
        <w:spacing w:after="0" w:line="240" w:lineRule="auto"/>
        <w:rPr>
          <w:rFonts w:cstheme="majorBidi"/>
          <w:b/>
          <w:bCs/>
          <w:i/>
          <w:iCs/>
          <w:color w:val="365F91" w:themeColor="accent1" w:themeShade="BF"/>
          <w:sz w:val="24"/>
          <w:szCs w:val="24"/>
          <w:u w:val="single"/>
          <w:lang w:bidi="ar-DZ"/>
        </w:rPr>
      </w:pPr>
      <w:r w:rsidRPr="00DA5B06">
        <w:rPr>
          <w:rFonts w:cstheme="majorBidi"/>
          <w:b/>
          <w:bCs/>
          <w:i/>
          <w:iCs/>
          <w:color w:val="365F91" w:themeColor="accent1" w:themeShade="BF"/>
          <w:sz w:val="24"/>
          <w:szCs w:val="24"/>
          <w:u w:val="single"/>
          <w:lang w:bidi="ar-DZ"/>
        </w:rPr>
        <w:t>Mercredi 12 Décembre 2018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 xml:space="preserve">Etude des propositions de parcours de Formation LMD (L &amp; M) 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>Validation résultats du concours d’entrée en formation Doctorale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>Inscriptions et Réinscriptions en 1</w:t>
      </w:r>
      <w:r w:rsidRPr="00DA5B06">
        <w:rPr>
          <w:rFonts w:cstheme="majorBidi"/>
          <w:vertAlign w:val="superscript"/>
          <w:lang w:bidi="ar-DZ"/>
        </w:rPr>
        <w:t>ére</w:t>
      </w:r>
      <w:r w:rsidRPr="00DA5B06">
        <w:rPr>
          <w:rFonts w:cstheme="majorBidi"/>
          <w:lang w:bidi="ar-DZ"/>
        </w:rPr>
        <w:t xml:space="preserve"> et 2</w:t>
      </w:r>
      <w:r w:rsidRPr="00DA5B06">
        <w:rPr>
          <w:rFonts w:cstheme="majorBidi"/>
          <w:vertAlign w:val="superscript"/>
          <w:lang w:bidi="ar-DZ"/>
        </w:rPr>
        <w:t>éme</w:t>
      </w:r>
      <w:r w:rsidRPr="00DA5B06">
        <w:rPr>
          <w:rFonts w:cstheme="majorBidi"/>
          <w:lang w:bidi="ar-DZ"/>
        </w:rPr>
        <w:t xml:space="preserve"> PG</w:t>
      </w:r>
    </w:p>
    <w:p w:rsidR="00DA5B06" w:rsidRPr="00DA5B06" w:rsidRDefault="00DA5B06" w:rsidP="00B86832">
      <w:pPr>
        <w:pStyle w:val="Paragraphedeliste"/>
        <w:numPr>
          <w:ilvl w:val="0"/>
          <w:numId w:val="10"/>
        </w:numPr>
        <w:rPr>
          <w:rFonts w:cstheme="majorBidi"/>
          <w:lang w:bidi="ar-DZ"/>
        </w:rPr>
      </w:pPr>
      <w:r w:rsidRPr="00DA5B06">
        <w:rPr>
          <w:rFonts w:cstheme="majorBidi"/>
          <w:lang w:bidi="ar-DZ"/>
        </w:rPr>
        <w:t>Agrément de Jury de soutenances de thèses</w:t>
      </w:r>
    </w:p>
    <w:p w:rsidR="00DA5B06" w:rsidRDefault="00DA5B06" w:rsidP="00B86832">
      <w:pPr>
        <w:pStyle w:val="Paragraphedeliste"/>
        <w:numPr>
          <w:ilvl w:val="0"/>
          <w:numId w:val="10"/>
        </w:numPr>
        <w:rPr>
          <w:rFonts w:cstheme="majorBidi" w:hint="cs"/>
          <w:lang w:bidi="ar-DZ"/>
        </w:rPr>
      </w:pPr>
      <w:r w:rsidRPr="00DA5B06">
        <w:rPr>
          <w:rFonts w:cstheme="majorBidi"/>
          <w:lang w:bidi="ar-DZ"/>
        </w:rPr>
        <w:t>Divers</w:t>
      </w:r>
    </w:p>
    <w:p w:rsidR="009B00BC" w:rsidRPr="00DA5B06" w:rsidRDefault="009B00BC" w:rsidP="009B00BC">
      <w:pPr>
        <w:pStyle w:val="Paragraphedeliste"/>
        <w:rPr>
          <w:rFonts w:cstheme="majorBidi"/>
          <w:lang w:bidi="ar-DZ"/>
        </w:rPr>
      </w:pPr>
    </w:p>
    <w:p w:rsidR="00DA5B06" w:rsidRPr="00B86832" w:rsidRDefault="00DA5B06" w:rsidP="00B86832">
      <w:pPr>
        <w:spacing w:after="0" w:line="240" w:lineRule="auto"/>
        <w:rPr>
          <w:rFonts w:cstheme="majorBidi"/>
          <w:sz w:val="24"/>
          <w:szCs w:val="24"/>
          <w:lang w:bidi="ar-DZ"/>
        </w:rPr>
      </w:pPr>
      <w:r w:rsidRPr="00B86832">
        <w:rPr>
          <w:rFonts w:cstheme="majorBidi"/>
          <w:b/>
          <w:bCs/>
          <w:sz w:val="24"/>
          <w:szCs w:val="24"/>
          <w:u w:val="single"/>
          <w:lang w:bidi="ar-DZ"/>
        </w:rPr>
        <w:t>Lieu des réunions</w:t>
      </w:r>
      <w:r w:rsidRPr="00B86832">
        <w:rPr>
          <w:rFonts w:cstheme="majorBidi"/>
          <w:sz w:val="24"/>
          <w:szCs w:val="24"/>
          <w:lang w:bidi="ar-DZ"/>
        </w:rPr>
        <w:t>:</w:t>
      </w:r>
      <w:r w:rsidRPr="00B86832">
        <w:rPr>
          <w:rFonts w:cstheme="majorBidi" w:hint="cs"/>
          <w:sz w:val="24"/>
          <w:szCs w:val="24"/>
          <w:rtl/>
          <w:lang w:bidi="ar-DZ"/>
        </w:rPr>
        <w:t xml:space="preserve"> </w:t>
      </w:r>
      <w:r w:rsidRPr="00B86832">
        <w:rPr>
          <w:rFonts w:cstheme="majorBidi"/>
          <w:sz w:val="24"/>
          <w:szCs w:val="24"/>
          <w:lang w:bidi="ar-DZ"/>
        </w:rPr>
        <w:t>Salle de Conférences de la Faculté des SNV</w:t>
      </w:r>
      <w:r w:rsidR="000D7501">
        <w:rPr>
          <w:rFonts w:cstheme="majorBidi" w:hint="cs"/>
          <w:sz w:val="24"/>
          <w:szCs w:val="24"/>
          <w:rtl/>
          <w:lang w:bidi="ar-DZ"/>
        </w:rPr>
        <w:t xml:space="preserve">        </w:t>
      </w:r>
      <w:r w:rsidRPr="00B86832">
        <w:rPr>
          <w:rFonts w:cstheme="majorBidi" w:hint="cs"/>
          <w:sz w:val="24"/>
          <w:szCs w:val="24"/>
          <w:rtl/>
          <w:lang w:bidi="ar-DZ"/>
        </w:rPr>
        <w:t xml:space="preserve"> </w:t>
      </w:r>
      <w:r w:rsidRPr="00B86832">
        <w:rPr>
          <w:rFonts w:cstheme="majorBidi"/>
          <w:b/>
          <w:bCs/>
          <w:sz w:val="24"/>
          <w:szCs w:val="24"/>
          <w:u w:val="single"/>
          <w:lang w:bidi="ar-DZ"/>
        </w:rPr>
        <w:t>Heure</w:t>
      </w:r>
      <w:r w:rsidRPr="00B86832">
        <w:rPr>
          <w:rFonts w:cstheme="majorBidi"/>
          <w:b/>
          <w:bCs/>
          <w:sz w:val="24"/>
          <w:szCs w:val="24"/>
          <w:lang w:bidi="ar-DZ"/>
        </w:rPr>
        <w:t xml:space="preserve"> :</w:t>
      </w:r>
      <w:r w:rsidRPr="00B86832">
        <w:rPr>
          <w:rFonts w:cstheme="majorBidi"/>
          <w:sz w:val="24"/>
          <w:szCs w:val="24"/>
          <w:lang w:bidi="ar-DZ"/>
        </w:rPr>
        <w:t xml:space="preserve"> 9h</w:t>
      </w:r>
    </w:p>
    <w:p w:rsidR="00DA5B06" w:rsidRDefault="00DA5B06" w:rsidP="00B86832">
      <w:pPr>
        <w:spacing w:line="240" w:lineRule="auto"/>
        <w:ind w:firstLine="708"/>
        <w:rPr>
          <w:rFonts w:cstheme="majorBidi" w:hint="cs"/>
          <w:sz w:val="24"/>
          <w:szCs w:val="24"/>
          <w:rtl/>
          <w:lang w:bidi="ar-DZ"/>
        </w:rPr>
      </w:pPr>
      <w:r w:rsidRPr="00B86832">
        <w:rPr>
          <w:rFonts w:cstheme="majorBidi"/>
          <w:sz w:val="24"/>
          <w:szCs w:val="24"/>
          <w:lang w:bidi="ar-DZ"/>
        </w:rPr>
        <w:t xml:space="preserve">Les Chefs des Départements ainsi que les Collègues membres de comités &amp; conseil Scientifiques sont priés de respecter les différents échéanciers fixés et ce afin de permettre un bon suivi et l’aboutissement des différents dossiers dans les délais requis. </w:t>
      </w:r>
    </w:p>
    <w:p w:rsidR="009B00BC" w:rsidRDefault="009B00BC" w:rsidP="00B86832">
      <w:pPr>
        <w:spacing w:line="240" w:lineRule="auto"/>
        <w:ind w:firstLine="708"/>
        <w:rPr>
          <w:rFonts w:cstheme="majorBidi" w:hint="cs"/>
          <w:sz w:val="24"/>
          <w:szCs w:val="24"/>
          <w:rtl/>
          <w:lang w:bidi="ar-DZ"/>
        </w:rPr>
      </w:pPr>
    </w:p>
    <w:p w:rsidR="009B00BC" w:rsidRPr="00B86832" w:rsidRDefault="009B00BC" w:rsidP="00B86832">
      <w:pPr>
        <w:spacing w:line="240" w:lineRule="auto"/>
        <w:ind w:firstLine="708"/>
        <w:rPr>
          <w:rFonts w:cstheme="majorBidi"/>
          <w:sz w:val="24"/>
          <w:szCs w:val="24"/>
          <w:lang w:bidi="ar-DZ"/>
        </w:rPr>
      </w:pPr>
    </w:p>
    <w:p w:rsidR="00B86832" w:rsidRPr="00B86832" w:rsidRDefault="00B86832" w:rsidP="00B8683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lang w:bidi="ar-DZ"/>
        </w:rPr>
      </w:pPr>
      <w:proofErr w:type="gramStart"/>
      <w:r w:rsidRPr="00B868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>متفرقات</w:t>
      </w:r>
      <w:proofErr w:type="gramEnd"/>
    </w:p>
    <w:p w:rsidR="00DA5B06" w:rsidRDefault="00DA5B06" w:rsidP="008C4B64">
      <w:pPr>
        <w:bidi/>
        <w:spacing w:line="240" w:lineRule="auto"/>
        <w:ind w:left="568"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A5B0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عميد الكلية رؤساء الأقسام بإعطاء أهمية للقاءات التي تعقد تحضيرا لمشاريع البحوث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المتعلقة بما يلي :</w:t>
      </w:r>
    </w:p>
    <w:p w:rsidR="00DA5B06" w:rsidRPr="009E1AC0" w:rsidRDefault="00DA5B06" w:rsidP="009E1AC0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bidi="ar-DZ"/>
        </w:rPr>
      </w:pPr>
      <w:r w:rsidRPr="009E1AC0">
        <w:rPr>
          <w:rFonts w:asciiTheme="majorBidi" w:hAnsiTheme="majorBidi" w:cstheme="majorBidi"/>
          <w:sz w:val="28"/>
          <w:szCs w:val="28"/>
          <w:lang w:bidi="ar-DZ"/>
        </w:rPr>
        <w:t>Réseaux Blé</w:t>
      </w:r>
    </w:p>
    <w:p w:rsidR="00DA5B06" w:rsidRPr="00445AB9" w:rsidRDefault="00DA5B06" w:rsidP="00445AB9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bidi="ar-DZ"/>
        </w:rPr>
      </w:pPr>
      <w:r w:rsidRPr="00445AB9">
        <w:rPr>
          <w:rFonts w:asciiTheme="majorBidi" w:hAnsiTheme="majorBidi" w:cstheme="majorBidi"/>
          <w:sz w:val="28"/>
          <w:szCs w:val="28"/>
          <w:lang w:bidi="ar-DZ"/>
        </w:rPr>
        <w:t>Sécurité Alimentaire</w:t>
      </w:r>
    </w:p>
    <w:p w:rsidR="00DA5B06" w:rsidRDefault="00DA5B06" w:rsidP="00445AB9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PRIMA</w:t>
      </w:r>
    </w:p>
    <w:p w:rsidR="00DA5B06" w:rsidRDefault="00DA5B06" w:rsidP="00445AB9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Plant</w:t>
      </w:r>
      <w:r w:rsidR="00B86832">
        <w:rPr>
          <w:rFonts w:asciiTheme="majorBidi" w:hAnsiTheme="majorBidi" w:cstheme="majorBidi"/>
          <w:sz w:val="28"/>
          <w:szCs w:val="28"/>
          <w:lang w:bidi="ar-DZ"/>
        </w:rPr>
        <w:t>es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médicinale</w:t>
      </w:r>
      <w:r w:rsidR="00B86832">
        <w:rPr>
          <w:rFonts w:asciiTheme="majorBidi" w:hAnsiTheme="majorBidi" w:cstheme="majorBidi"/>
          <w:sz w:val="28"/>
          <w:szCs w:val="28"/>
          <w:lang w:bidi="ar-DZ"/>
        </w:rPr>
        <w:t>s</w:t>
      </w:r>
    </w:p>
    <w:p w:rsidR="00DA5B06" w:rsidRDefault="009E1AC0" w:rsidP="00445AB9">
      <w:pPr>
        <w:pStyle w:val="Paragraphedeliste"/>
        <w:numPr>
          <w:ilvl w:val="0"/>
          <w:numId w:val="15"/>
        </w:numPr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S</w:t>
      </w:r>
      <w:r w:rsidR="00DA5B06">
        <w:rPr>
          <w:rFonts w:asciiTheme="majorBidi" w:hAnsiTheme="majorBidi" w:cstheme="majorBidi"/>
          <w:sz w:val="28"/>
          <w:szCs w:val="28"/>
          <w:lang w:bidi="ar-DZ"/>
        </w:rPr>
        <w:t xml:space="preserve">échage des Fruits et </w:t>
      </w:r>
      <w:r w:rsidR="00445AB9">
        <w:rPr>
          <w:rFonts w:asciiTheme="majorBidi" w:hAnsiTheme="majorBidi" w:cstheme="majorBidi"/>
          <w:sz w:val="28"/>
          <w:szCs w:val="28"/>
          <w:lang w:bidi="ar-DZ"/>
        </w:rPr>
        <w:t>L</w:t>
      </w:r>
      <w:r w:rsidR="00DA5B06">
        <w:rPr>
          <w:rFonts w:asciiTheme="majorBidi" w:hAnsiTheme="majorBidi" w:cstheme="majorBidi"/>
          <w:sz w:val="28"/>
          <w:szCs w:val="28"/>
          <w:lang w:bidi="ar-DZ"/>
        </w:rPr>
        <w:t xml:space="preserve">égumes </w:t>
      </w:r>
    </w:p>
    <w:p w:rsidR="00445AB9" w:rsidRDefault="00445AB9" w:rsidP="00445AB9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Les additifs  Aromatiques</w:t>
      </w:r>
    </w:p>
    <w:p w:rsidR="00DA5B06" w:rsidRPr="00DA5B06" w:rsidRDefault="00DA5B06" w:rsidP="00DA5B06">
      <w:pPr>
        <w:pStyle w:val="Paragraphedeliste"/>
        <w:ind w:left="1800"/>
        <w:rPr>
          <w:rFonts w:asciiTheme="majorBidi" w:hAnsiTheme="majorBidi" w:cstheme="majorBidi"/>
          <w:sz w:val="28"/>
          <w:szCs w:val="28"/>
          <w:lang w:bidi="ar-DZ"/>
        </w:rPr>
      </w:pPr>
    </w:p>
    <w:p w:rsidR="00115AED" w:rsidRPr="00445AB9" w:rsidRDefault="00115AED" w:rsidP="0005441C">
      <w:pPr>
        <w:pStyle w:val="Paragraphedeliste"/>
        <w:bidi/>
        <w:ind w:left="1778" w:firstLine="34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30</w:t>
      </w:r>
      <w:r w:rsidRPr="00445AB9">
        <w:rPr>
          <w:rFonts w:asciiTheme="majorBidi" w:hAnsiTheme="majorBidi" w:cstheme="majorBidi"/>
          <w:sz w:val="28"/>
          <w:szCs w:val="28"/>
          <w:lang w:bidi="ar-DZ"/>
        </w:rPr>
        <w:t>12h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115AED" w:rsidRPr="00445AB9" w:rsidRDefault="00115AED" w:rsidP="00115AED">
      <w:pPr>
        <w:pStyle w:val="Paragraphedeliste"/>
        <w:bidi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15AED" w:rsidRPr="00AB7522" w:rsidRDefault="00115AED" w:rsidP="00115AED">
      <w:pPr>
        <w:pStyle w:val="Paragraphedeliste"/>
        <w:bidi/>
        <w:ind w:left="1070"/>
        <w:jc w:val="center"/>
        <w:rPr>
          <w:sz w:val="28"/>
          <w:szCs w:val="28"/>
          <w:rtl/>
          <w:lang w:bidi="ar-DZ"/>
        </w:rPr>
      </w:pPr>
    </w:p>
    <w:p w:rsidR="00115AED" w:rsidRPr="00EF46C6" w:rsidRDefault="00115AED" w:rsidP="00DA5B06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A5B06">
        <w:rPr>
          <w:b/>
          <w:bCs/>
          <w:sz w:val="28"/>
          <w:szCs w:val="28"/>
          <w:lang w:bidi="ar-DZ"/>
        </w:rPr>
        <w:t>30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جانفي 2018</w:t>
      </w:r>
    </w:p>
    <w:p w:rsidR="00115AED" w:rsidRDefault="00115AED" w:rsidP="00115AED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115AED" w:rsidRDefault="00115AED" w:rsidP="00115AED">
      <w:pPr>
        <w:bidi/>
        <w:spacing w:after="0" w:line="240" w:lineRule="auto"/>
        <w:ind w:left="5664" w:firstLine="708"/>
        <w:jc w:val="center"/>
        <w:rPr>
          <w:sz w:val="28"/>
          <w:szCs w:val="28"/>
          <w:rtl/>
          <w:lang w:bidi="ar-DZ"/>
        </w:rPr>
      </w:pPr>
    </w:p>
    <w:p w:rsidR="00115AED" w:rsidRPr="006C1104" w:rsidRDefault="00115AED" w:rsidP="00115AED">
      <w:pPr>
        <w:bidi/>
        <w:spacing w:after="0" w:line="240" w:lineRule="auto"/>
        <w:ind w:left="5664" w:firstLine="708"/>
        <w:jc w:val="center"/>
        <w:rPr>
          <w:sz w:val="28"/>
          <w:szCs w:val="28"/>
          <w:lang w:bidi="ar-DZ"/>
        </w:rPr>
      </w:pPr>
    </w:p>
    <w:p w:rsidR="00115AED" w:rsidRDefault="00115AED" w:rsidP="00115AED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115AED" w:rsidRPr="008160FC" w:rsidRDefault="00115AED" w:rsidP="00115AED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115AED" w:rsidRPr="005E1520" w:rsidRDefault="00115AED" w:rsidP="00115A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115AED" w:rsidRPr="00690E16" w:rsidRDefault="00115AED" w:rsidP="00115A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115AED" w:rsidRPr="005E1520" w:rsidRDefault="00115AED" w:rsidP="00115A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115AED" w:rsidRPr="005E1520" w:rsidRDefault="00115AED" w:rsidP="00115A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115AED" w:rsidRPr="005E1520" w:rsidRDefault="00115AED" w:rsidP="00115A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115AED" w:rsidRPr="005E1520" w:rsidRDefault="00115AED" w:rsidP="00115A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115AED" w:rsidRPr="005E1520" w:rsidRDefault="00115AED" w:rsidP="00115AED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115AED" w:rsidRPr="00436B75" w:rsidRDefault="00115AED" w:rsidP="00115AED">
      <w:pPr>
        <w:pStyle w:val="Paragraphedeliste"/>
        <w:bidi/>
        <w:ind w:left="0"/>
        <w:rPr>
          <w:sz w:val="22"/>
          <w:szCs w:val="22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p w:rsidR="00821F58" w:rsidRDefault="00821F58"/>
    <w:sectPr w:rsidR="00821F58" w:rsidSect="001E779D">
      <w:pgSz w:w="11906" w:h="16838"/>
      <w:pgMar w:top="73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2BC"/>
    <w:multiLevelType w:val="hybridMultilevel"/>
    <w:tmpl w:val="AF70F8CC"/>
    <w:lvl w:ilvl="0" w:tplc="4ECEC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7B0097"/>
    <w:multiLevelType w:val="hybridMultilevel"/>
    <w:tmpl w:val="34CC060A"/>
    <w:lvl w:ilvl="0" w:tplc="827E959E">
      <w:start w:val="2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A376109"/>
    <w:multiLevelType w:val="hybridMultilevel"/>
    <w:tmpl w:val="14067B22"/>
    <w:lvl w:ilvl="0" w:tplc="62F6D81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F47A9"/>
    <w:multiLevelType w:val="hybridMultilevel"/>
    <w:tmpl w:val="4DC6096C"/>
    <w:lvl w:ilvl="0" w:tplc="103053A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1F3CA8"/>
    <w:multiLevelType w:val="hybridMultilevel"/>
    <w:tmpl w:val="D05E20CA"/>
    <w:lvl w:ilvl="0" w:tplc="97AE8D94">
      <w:start w:val="3"/>
      <w:numFmt w:val="decimal"/>
      <w:lvlText w:val="%1-"/>
      <w:lvlJc w:val="left"/>
      <w:pPr>
        <w:ind w:left="927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81D5C"/>
    <w:multiLevelType w:val="hybridMultilevel"/>
    <w:tmpl w:val="7DB8914E"/>
    <w:lvl w:ilvl="0" w:tplc="2774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21488"/>
    <w:multiLevelType w:val="hybridMultilevel"/>
    <w:tmpl w:val="3454028E"/>
    <w:lvl w:ilvl="0" w:tplc="283CF6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AB8459C"/>
    <w:multiLevelType w:val="hybridMultilevel"/>
    <w:tmpl w:val="57C69D4A"/>
    <w:lvl w:ilvl="0" w:tplc="0DBA0B14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CE5026"/>
    <w:multiLevelType w:val="hybridMultilevel"/>
    <w:tmpl w:val="C16CC96E"/>
    <w:lvl w:ilvl="0" w:tplc="FCBEC240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280267C"/>
    <w:multiLevelType w:val="hybridMultilevel"/>
    <w:tmpl w:val="E8AEEA46"/>
    <w:lvl w:ilvl="0" w:tplc="8452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E3ED5"/>
    <w:multiLevelType w:val="hybridMultilevel"/>
    <w:tmpl w:val="E200B076"/>
    <w:lvl w:ilvl="0" w:tplc="BC1E74D0">
      <w:start w:val="2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3">
    <w:nsid w:val="75A50C07"/>
    <w:multiLevelType w:val="hybridMultilevel"/>
    <w:tmpl w:val="7A322E20"/>
    <w:lvl w:ilvl="0" w:tplc="C62E73A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B8D27A8"/>
    <w:multiLevelType w:val="hybridMultilevel"/>
    <w:tmpl w:val="9D649A28"/>
    <w:lvl w:ilvl="0" w:tplc="0F243DA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15AED"/>
    <w:rsid w:val="0005441C"/>
    <w:rsid w:val="000D7501"/>
    <w:rsid w:val="00115AED"/>
    <w:rsid w:val="00115CA1"/>
    <w:rsid w:val="001406F7"/>
    <w:rsid w:val="00377A48"/>
    <w:rsid w:val="00445AB9"/>
    <w:rsid w:val="006F017D"/>
    <w:rsid w:val="00773FE8"/>
    <w:rsid w:val="007A3864"/>
    <w:rsid w:val="007D44A2"/>
    <w:rsid w:val="00821F58"/>
    <w:rsid w:val="008C4B64"/>
    <w:rsid w:val="009B00BC"/>
    <w:rsid w:val="009E1AC0"/>
    <w:rsid w:val="00B4472D"/>
    <w:rsid w:val="00B538DB"/>
    <w:rsid w:val="00B86832"/>
    <w:rsid w:val="00BA1729"/>
    <w:rsid w:val="00D733B0"/>
    <w:rsid w:val="00DA5B06"/>
    <w:rsid w:val="00EC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E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AE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5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2018-01-31T14:35:00Z</cp:lastPrinted>
  <dcterms:created xsi:type="dcterms:W3CDTF">2018-01-31T06:33:00Z</dcterms:created>
  <dcterms:modified xsi:type="dcterms:W3CDTF">2018-02-01T07:37:00Z</dcterms:modified>
</cp:coreProperties>
</file>