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19" w:rsidRDefault="000C6919" w:rsidP="000C691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Université des Frères Mentouri  Constantine1                                                      Enseignante  responsable :</w:t>
      </w:r>
    </w:p>
    <w:p w:rsidR="000C6919" w:rsidRDefault="000C6919" w:rsidP="000C691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Faculté des sciences de la nature et de la vie                                                               MEZIANI  Meriem</w:t>
      </w:r>
    </w:p>
    <w:p w:rsidR="000C6919" w:rsidRDefault="000C6919" w:rsidP="000C691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Département de Microbiologie                                                                                    </w:t>
      </w:r>
    </w:p>
    <w:p w:rsidR="000C6919" w:rsidRDefault="000C6919" w:rsidP="000C691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Filière </w:t>
      </w:r>
      <w:r w:rsidRPr="00000590">
        <w:rPr>
          <w:b/>
          <w:sz w:val="20"/>
          <w:szCs w:val="20"/>
        </w:rPr>
        <w:t>: M1  Mycologie et Biotechnologie Fongique</w:t>
      </w:r>
      <w:r>
        <w:rPr>
          <w:bCs/>
          <w:sz w:val="20"/>
          <w:szCs w:val="20"/>
        </w:rPr>
        <w:t xml:space="preserve"> </w:t>
      </w:r>
    </w:p>
    <w:p w:rsidR="000C6919" w:rsidRDefault="000C6919" w:rsidP="000C691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Matière : Génétique moléculaire des microorganismes.</w:t>
      </w:r>
    </w:p>
    <w:p w:rsidR="000C6919" w:rsidRDefault="000C6919" w:rsidP="000C691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Année universitaire : 2019-2020</w:t>
      </w:r>
    </w:p>
    <w:p w:rsidR="003A5A7E" w:rsidRDefault="000C6919" w:rsidP="003A5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5A7E" w:rsidRDefault="003A5A7E" w:rsidP="003A5A7E">
      <w:r>
        <w:t xml:space="preserve"> </w:t>
      </w:r>
    </w:p>
    <w:p w:rsidR="003A5A7E" w:rsidRDefault="003A5A7E" w:rsidP="003A5A7E"/>
    <w:p w:rsidR="00E30E2F" w:rsidRDefault="003A5A7E" w:rsidP="00E30E2F">
      <w:pPr>
        <w:jc w:val="center"/>
        <w:rPr>
          <w:b/>
          <w:bCs/>
          <w:color w:val="000000"/>
        </w:rPr>
      </w:pPr>
      <w:r>
        <w:rPr>
          <w:b/>
          <w:bCs/>
          <w:sz w:val="28"/>
          <w:szCs w:val="28"/>
        </w:rPr>
        <w:t xml:space="preserve">TP3 : </w:t>
      </w:r>
      <w:r w:rsidR="00E30E2F" w:rsidRPr="00CC4A9F">
        <w:rPr>
          <w:rFonts w:eastAsia="Calibri"/>
          <w:b/>
          <w:bCs/>
          <w:sz w:val="26"/>
          <w:szCs w:val="26"/>
        </w:rPr>
        <w:t>Réparation des mutations provoquées par les rayons ultraviolets</w:t>
      </w:r>
    </w:p>
    <w:p w:rsidR="003A5A7E" w:rsidRDefault="003A5A7E" w:rsidP="00E30E2F">
      <w:pPr>
        <w:tabs>
          <w:tab w:val="left" w:pos="2940"/>
        </w:tabs>
        <w:jc w:val="center"/>
        <w:rPr>
          <w:b/>
          <w:bCs/>
          <w:sz w:val="28"/>
          <w:szCs w:val="28"/>
        </w:rPr>
      </w:pPr>
    </w:p>
    <w:p w:rsidR="003A5A7E" w:rsidRDefault="003A5A7E" w:rsidP="003A5A7E">
      <w:pPr>
        <w:rPr>
          <w:sz w:val="28"/>
          <w:szCs w:val="28"/>
        </w:rPr>
      </w:pPr>
    </w:p>
    <w:p w:rsidR="003A5A7E" w:rsidRDefault="003A5A7E" w:rsidP="003A5A7E">
      <w:pPr>
        <w:rPr>
          <w:sz w:val="28"/>
          <w:szCs w:val="28"/>
        </w:rPr>
      </w:pPr>
    </w:p>
    <w:p w:rsidR="00D74071" w:rsidRPr="00790D49" w:rsidRDefault="003A5A7E" w:rsidP="00790D49">
      <w:pPr>
        <w:spacing w:line="360" w:lineRule="auto"/>
        <w:rPr>
          <w:rFonts w:asciiTheme="majorBidi" w:hAnsiTheme="majorBidi" w:cstheme="majorBidi"/>
        </w:rPr>
      </w:pPr>
      <w:r w:rsidRPr="00790D49">
        <w:rPr>
          <w:rFonts w:asciiTheme="majorBidi" w:hAnsiTheme="majorBidi" w:cstheme="majorBidi"/>
          <w:b/>
          <w:bCs/>
        </w:rPr>
        <w:t>But :</w:t>
      </w:r>
      <w:r w:rsidRPr="00790D49">
        <w:rPr>
          <w:rFonts w:asciiTheme="majorBidi" w:hAnsiTheme="majorBidi" w:cstheme="majorBidi"/>
        </w:rPr>
        <w:t xml:space="preserve"> </w:t>
      </w:r>
      <w:r w:rsidR="00A84346" w:rsidRPr="00790D49">
        <w:rPr>
          <w:rFonts w:asciiTheme="majorBidi" w:hAnsiTheme="majorBidi" w:cstheme="majorBidi"/>
        </w:rPr>
        <w:t xml:space="preserve">Le but c’est </w:t>
      </w:r>
      <w:r w:rsidR="00A84346" w:rsidRPr="00790D49">
        <w:rPr>
          <w:rFonts w:asciiTheme="majorBidi" w:eastAsia="Calibri" w:hAnsiTheme="majorBidi" w:cstheme="majorBidi"/>
        </w:rPr>
        <w:t>de comparer entre la réparation en phase obscure et la réparation en phase claire après mutagénèse de</w:t>
      </w:r>
      <w:r w:rsidR="00721F8E" w:rsidRPr="00790D49">
        <w:rPr>
          <w:rFonts w:asciiTheme="majorBidi" w:eastAsia="Calibri" w:hAnsiTheme="majorBidi" w:cstheme="majorBidi"/>
        </w:rPr>
        <w:t xml:space="preserve"> la levure</w:t>
      </w:r>
      <w:r w:rsidR="00A84346" w:rsidRPr="00790D49">
        <w:rPr>
          <w:rFonts w:asciiTheme="majorBidi" w:eastAsia="Calibri" w:hAnsiTheme="majorBidi" w:cstheme="majorBidi"/>
        </w:rPr>
        <w:t xml:space="preserve"> </w:t>
      </w:r>
      <w:r w:rsidR="00A84346" w:rsidRPr="00790D49">
        <w:rPr>
          <w:rFonts w:asciiTheme="majorBidi" w:eastAsia="Calibri" w:hAnsiTheme="majorBidi" w:cstheme="majorBidi"/>
          <w:i/>
        </w:rPr>
        <w:t>Saccharomyces cerevisiae</w:t>
      </w:r>
      <w:r w:rsidR="00A84346" w:rsidRPr="00790D49">
        <w:rPr>
          <w:rFonts w:asciiTheme="majorBidi" w:eastAsia="Calibri" w:hAnsiTheme="majorBidi" w:cstheme="majorBidi"/>
        </w:rPr>
        <w:t xml:space="preserve"> par les rayons ultraviolets.</w:t>
      </w:r>
    </w:p>
    <w:p w:rsidR="003A5A7E" w:rsidRPr="00790D49" w:rsidRDefault="00D74071" w:rsidP="00790D49">
      <w:pPr>
        <w:spacing w:before="240" w:line="360" w:lineRule="auto"/>
        <w:rPr>
          <w:rFonts w:asciiTheme="majorBidi" w:hAnsiTheme="majorBidi" w:cstheme="majorBidi"/>
          <w:b/>
          <w:bCs/>
        </w:rPr>
      </w:pPr>
      <w:r w:rsidRPr="00790D49">
        <w:rPr>
          <w:rFonts w:asciiTheme="majorBidi" w:hAnsiTheme="majorBidi" w:cstheme="majorBidi"/>
          <w:b/>
          <w:bCs/>
        </w:rPr>
        <w:t>Mode opératoire :</w:t>
      </w:r>
    </w:p>
    <w:p w:rsidR="00721F8E" w:rsidRPr="00790D49" w:rsidRDefault="00721F8E" w:rsidP="00790D49">
      <w:pPr>
        <w:pStyle w:val="Paragraphedeliste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>Préparer un inoculum liquide de</w:t>
      </w:r>
      <w:r w:rsidRPr="00790D49">
        <w:rPr>
          <w:rFonts w:asciiTheme="majorBidi" w:eastAsia="Calibri" w:hAnsiTheme="majorBidi" w:cstheme="majorBidi"/>
          <w:i/>
          <w:sz w:val="24"/>
          <w:szCs w:val="24"/>
        </w:rPr>
        <w:t xml:space="preserve"> Saccharomyces cerevisiae </w:t>
      </w:r>
      <w:r w:rsidRPr="00790D49">
        <w:rPr>
          <w:rFonts w:asciiTheme="majorBidi" w:eastAsia="Calibri" w:hAnsiTheme="majorBidi" w:cstheme="majorBidi"/>
          <w:iCs/>
          <w:sz w:val="24"/>
          <w:szCs w:val="24"/>
        </w:rPr>
        <w:t>levure boulangère</w:t>
      </w:r>
      <w:r w:rsidRPr="00790D49">
        <w:rPr>
          <w:rFonts w:asciiTheme="majorBidi" w:hAnsiTheme="majorBidi" w:cstheme="majorBidi"/>
          <w:sz w:val="24"/>
          <w:szCs w:val="24"/>
        </w:rPr>
        <w:t xml:space="preserve"> (culture jeune) </w:t>
      </w:r>
    </w:p>
    <w:p w:rsidR="00721F8E" w:rsidRPr="00790D49" w:rsidRDefault="00B646B3" w:rsidP="00790D49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 xml:space="preserve">Préparer des </w:t>
      </w:r>
      <w:r w:rsidR="00721F8E" w:rsidRPr="00790D49">
        <w:rPr>
          <w:rFonts w:asciiTheme="majorBidi" w:hAnsiTheme="majorBidi" w:cstheme="majorBidi"/>
          <w:sz w:val="24"/>
          <w:szCs w:val="24"/>
        </w:rPr>
        <w:t>dilutions décimales jusqu’à 10</w:t>
      </w:r>
      <w:r w:rsidR="00721F8E" w:rsidRPr="00790D49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790D49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790D49">
        <w:rPr>
          <w:rFonts w:asciiTheme="majorBidi" w:hAnsiTheme="majorBidi" w:cstheme="majorBidi"/>
          <w:sz w:val="24"/>
          <w:szCs w:val="24"/>
        </w:rPr>
        <w:t>.</w:t>
      </w:r>
    </w:p>
    <w:p w:rsidR="00721F8E" w:rsidRPr="00790D49" w:rsidRDefault="00B646B3" w:rsidP="00790D49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 xml:space="preserve">Etaler </w:t>
      </w:r>
      <w:r w:rsidR="00721F8E" w:rsidRPr="00790D49">
        <w:rPr>
          <w:rFonts w:asciiTheme="majorBidi" w:hAnsiTheme="majorBidi" w:cstheme="majorBidi"/>
          <w:sz w:val="24"/>
          <w:szCs w:val="24"/>
        </w:rPr>
        <w:t>0.1ml de la dernière dilution</w:t>
      </w:r>
      <w:r w:rsidRPr="00790D49">
        <w:rPr>
          <w:rFonts w:asciiTheme="majorBidi" w:hAnsiTheme="majorBidi" w:cstheme="majorBidi"/>
          <w:sz w:val="24"/>
          <w:szCs w:val="24"/>
        </w:rPr>
        <w:t xml:space="preserve"> 10</w:t>
      </w:r>
      <w:r w:rsidRPr="00790D49">
        <w:rPr>
          <w:rFonts w:asciiTheme="majorBidi" w:hAnsiTheme="majorBidi" w:cstheme="majorBidi"/>
          <w:sz w:val="24"/>
          <w:szCs w:val="24"/>
          <w:vertAlign w:val="superscript"/>
        </w:rPr>
        <w:t>-5</w:t>
      </w:r>
      <w:r w:rsidRPr="00790D49">
        <w:rPr>
          <w:rFonts w:asciiTheme="majorBidi" w:hAnsiTheme="majorBidi" w:cstheme="majorBidi"/>
          <w:sz w:val="24"/>
          <w:szCs w:val="24"/>
        </w:rPr>
        <w:t xml:space="preserve"> ou 3 gouttes à l’aide d’une  pipette Pasteur sur gélose Sabouraud.</w:t>
      </w:r>
    </w:p>
    <w:p w:rsidR="00721F8E" w:rsidRPr="00790D49" w:rsidRDefault="00B646B3" w:rsidP="00790D4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 xml:space="preserve">Préparer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9 boites</w:t>
      </w:r>
      <w:r w:rsidRPr="00790D49">
        <w:rPr>
          <w:rFonts w:asciiTheme="majorBidi" w:hAnsiTheme="majorBidi" w:cstheme="majorBidi"/>
          <w:sz w:val="24"/>
          <w:szCs w:val="24"/>
        </w:rPr>
        <w:t xml:space="preserve"> de Pétri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>(même dilution et même volume pour tous les ensemencements).</w:t>
      </w:r>
    </w:p>
    <w:p w:rsidR="00721F8E" w:rsidRPr="00790D49" w:rsidRDefault="00B646B3" w:rsidP="00790D49">
      <w:pPr>
        <w:pStyle w:val="Paragraphedeliste"/>
        <w:numPr>
          <w:ilvl w:val="0"/>
          <w:numId w:val="2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 xml:space="preserve">Exposer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6 boites ouvertes </w:t>
      </w:r>
      <w:r w:rsidRPr="00790D49">
        <w:rPr>
          <w:rFonts w:asciiTheme="majorBidi" w:hAnsiTheme="majorBidi" w:cstheme="majorBidi"/>
          <w:sz w:val="24"/>
          <w:szCs w:val="24"/>
        </w:rPr>
        <w:t xml:space="preserve">aux UV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pendant 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>la durée qui correspond à 50% de survie de la population (voir les résultats du TP</w:t>
      </w:r>
      <w:r w:rsidRPr="00790D49">
        <w:rPr>
          <w:rFonts w:asciiTheme="majorBidi" w:eastAsia="Calibri" w:hAnsiTheme="majorBidi" w:cstheme="majorBidi"/>
          <w:sz w:val="24"/>
          <w:szCs w:val="24"/>
        </w:rPr>
        <w:t>2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 xml:space="preserve"> de la courbe de survie).</w:t>
      </w:r>
    </w:p>
    <w:p w:rsidR="00721F8E" w:rsidRPr="00790D49" w:rsidRDefault="00517C56" w:rsidP="00790D49">
      <w:pPr>
        <w:pStyle w:val="Paragraphedeliste"/>
        <w:numPr>
          <w:ilvl w:val="0"/>
          <w:numId w:val="2"/>
        </w:num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790D49">
        <w:rPr>
          <w:rFonts w:asciiTheme="majorBidi" w:eastAsia="Calibri" w:hAnsiTheme="majorBidi" w:cstheme="majorBidi"/>
          <w:sz w:val="24"/>
          <w:szCs w:val="24"/>
        </w:rPr>
        <w:t>Garder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 xml:space="preserve"> 3 boites non irradiées comme témoin</w:t>
      </w:r>
      <w:r w:rsidRPr="00790D49">
        <w:rPr>
          <w:rFonts w:asciiTheme="majorBidi" w:eastAsia="Calibri" w:hAnsiTheme="majorBidi" w:cstheme="majorBidi"/>
          <w:sz w:val="24"/>
          <w:szCs w:val="24"/>
        </w:rPr>
        <w:t>s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:rsidR="00721F8E" w:rsidRPr="00790D49" w:rsidRDefault="00517C56" w:rsidP="00790D4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90D49">
        <w:rPr>
          <w:rFonts w:asciiTheme="majorBidi" w:eastAsia="Calibri" w:hAnsiTheme="majorBidi" w:cstheme="majorBidi"/>
          <w:sz w:val="24"/>
          <w:szCs w:val="24"/>
        </w:rPr>
        <w:t>Envelopper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 xml:space="preserve"> les trois boites témoins et trois des six boites irradiées dans le papier aluminium. Les trois autres boites restantes ne seront pas enveloppées.  </w:t>
      </w:r>
    </w:p>
    <w:p w:rsidR="00890A41" w:rsidRPr="00790D49" w:rsidRDefault="00517C56" w:rsidP="00790D4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90D49">
        <w:rPr>
          <w:rFonts w:asciiTheme="majorBidi" w:eastAsia="Calibri" w:hAnsiTheme="majorBidi" w:cstheme="majorBidi"/>
          <w:sz w:val="24"/>
          <w:szCs w:val="24"/>
        </w:rPr>
        <w:t>Incuber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 xml:space="preserve"> toutes les boites (irradiées et témoins) dans l’étuve contenant une lam</w:t>
      </w:r>
      <w:r w:rsidR="00F24E23" w:rsidRPr="00790D49">
        <w:rPr>
          <w:rFonts w:asciiTheme="majorBidi" w:eastAsia="Calibri" w:hAnsiTheme="majorBidi" w:cstheme="majorBidi"/>
          <w:sz w:val="24"/>
          <w:szCs w:val="24"/>
        </w:rPr>
        <w:t>pe à lumière blanche pendant 5</w:t>
      </w:r>
      <w:r w:rsidR="00721F8E" w:rsidRPr="00790D49">
        <w:rPr>
          <w:rFonts w:asciiTheme="majorBidi" w:eastAsia="Calibri" w:hAnsiTheme="majorBidi" w:cstheme="majorBidi"/>
          <w:sz w:val="24"/>
          <w:szCs w:val="24"/>
        </w:rPr>
        <w:t xml:space="preserve"> jours à 30°C.</w:t>
      </w:r>
    </w:p>
    <w:p w:rsidR="00890A41" w:rsidRPr="00790D49" w:rsidRDefault="00890A41" w:rsidP="00790D4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b/>
          <w:bCs/>
          <w:sz w:val="24"/>
          <w:szCs w:val="24"/>
        </w:rPr>
        <w:t>Lecture :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</w:t>
      </w:r>
    </w:p>
    <w:p w:rsidR="00721F8E" w:rsidRPr="00790D49" w:rsidRDefault="00721F8E" w:rsidP="00790D4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 xml:space="preserve">le comptage des colonies </w:t>
      </w:r>
      <w:r w:rsidR="00890A41" w:rsidRPr="00790D49">
        <w:rPr>
          <w:rFonts w:asciiTheme="majorBidi" w:hAnsiTheme="majorBidi" w:cstheme="majorBidi"/>
          <w:sz w:val="24"/>
          <w:szCs w:val="24"/>
        </w:rPr>
        <w:t xml:space="preserve">se fait </w:t>
      </w:r>
      <w:r w:rsidRPr="00790D49">
        <w:rPr>
          <w:rFonts w:asciiTheme="majorBidi" w:hAnsiTheme="majorBidi" w:cstheme="majorBidi"/>
          <w:sz w:val="24"/>
          <w:szCs w:val="24"/>
        </w:rPr>
        <w:t xml:space="preserve">à l’aide d’un compteur de colonies </w:t>
      </w:r>
    </w:p>
    <w:p w:rsidR="00721F8E" w:rsidRPr="00790D49" w:rsidRDefault="00890A41" w:rsidP="00790D4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>Tracer un tableau des résultats.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</w:t>
      </w:r>
    </w:p>
    <w:p w:rsidR="00721F8E" w:rsidRPr="00790D49" w:rsidRDefault="00890A41" w:rsidP="00790D4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 xml:space="preserve">Calculer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la moyenne </w:t>
      </w:r>
      <w:r w:rsidRPr="00790D49">
        <w:rPr>
          <w:rFonts w:asciiTheme="majorBidi" w:hAnsiTheme="majorBidi" w:cstheme="majorBidi"/>
          <w:sz w:val="24"/>
          <w:szCs w:val="24"/>
        </w:rPr>
        <w:t>(</w:t>
      </w:r>
      <w:r w:rsidR="00721F8E" w:rsidRPr="00790D49">
        <w:rPr>
          <w:rFonts w:asciiTheme="majorBidi" w:hAnsiTheme="majorBidi" w:cstheme="majorBidi"/>
          <w:sz w:val="24"/>
          <w:szCs w:val="24"/>
        </w:rPr>
        <w:t>n</w:t>
      </w:r>
      <w:r w:rsidRPr="00790D49">
        <w:rPr>
          <w:rFonts w:asciiTheme="majorBidi" w:hAnsiTheme="majorBidi" w:cstheme="majorBidi"/>
          <w:sz w:val="24"/>
          <w:szCs w:val="24"/>
        </w:rPr>
        <w:t>om</w:t>
      </w:r>
      <w:r w:rsidR="00721F8E" w:rsidRPr="00790D49">
        <w:rPr>
          <w:rFonts w:asciiTheme="majorBidi" w:hAnsiTheme="majorBidi" w:cstheme="majorBidi"/>
          <w:sz w:val="24"/>
          <w:szCs w:val="24"/>
        </w:rPr>
        <w:t>b</w:t>
      </w:r>
      <w:r w:rsidRPr="00790D49">
        <w:rPr>
          <w:rFonts w:asciiTheme="majorBidi" w:hAnsiTheme="majorBidi" w:cstheme="majorBidi"/>
          <w:sz w:val="24"/>
          <w:szCs w:val="24"/>
        </w:rPr>
        <w:t>re)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des colonies des 3 boites pour :</w:t>
      </w:r>
    </w:p>
    <w:p w:rsidR="00721F8E" w:rsidRPr="00790D49" w:rsidRDefault="00721F8E" w:rsidP="00790D49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>Les boites irradiées enveloppées</w:t>
      </w:r>
    </w:p>
    <w:p w:rsidR="00721F8E" w:rsidRPr="00790D49" w:rsidRDefault="00721F8E" w:rsidP="00790D49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>Les boites irradiées exposées à la lumière</w:t>
      </w:r>
      <w:r w:rsidR="00890A41" w:rsidRPr="00790D49">
        <w:rPr>
          <w:rFonts w:asciiTheme="majorBidi" w:hAnsiTheme="majorBidi" w:cstheme="majorBidi"/>
          <w:sz w:val="24"/>
          <w:szCs w:val="24"/>
        </w:rPr>
        <w:t xml:space="preserve"> blanche</w:t>
      </w:r>
    </w:p>
    <w:p w:rsidR="00721F8E" w:rsidRPr="00790D49" w:rsidRDefault="00721F8E" w:rsidP="00790D49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>Les boites témoins</w:t>
      </w:r>
    </w:p>
    <w:p w:rsidR="00314895" w:rsidRPr="00790D49" w:rsidRDefault="00314895" w:rsidP="00790D49">
      <w:p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790D49">
        <w:rPr>
          <w:rFonts w:asciiTheme="majorBidi" w:hAnsiTheme="majorBidi" w:cstheme="majorBidi"/>
          <w:b/>
          <w:bCs/>
        </w:rPr>
        <w:lastRenderedPageBreak/>
        <w:t xml:space="preserve">Résultats et interprétation : </w:t>
      </w:r>
    </w:p>
    <w:p w:rsidR="00314895" w:rsidRPr="00790D49" w:rsidRDefault="00362EE9" w:rsidP="00790D49">
      <w:pPr>
        <w:spacing w:after="240" w:line="360" w:lineRule="auto"/>
        <w:rPr>
          <w:rFonts w:asciiTheme="majorBidi" w:hAnsiTheme="majorBidi" w:cstheme="majorBidi"/>
        </w:rPr>
      </w:pPr>
      <w:r w:rsidRPr="00790D49">
        <w:rPr>
          <w:rFonts w:asciiTheme="majorBidi" w:hAnsiTheme="majorBidi" w:cstheme="majorBidi"/>
        </w:rPr>
        <w:t xml:space="preserve">                  On observe que : </w:t>
      </w:r>
    </w:p>
    <w:p w:rsidR="00721F8E" w:rsidRPr="00790D49" w:rsidRDefault="00362EE9" w:rsidP="00790D49">
      <w:pPr>
        <w:pStyle w:val="Paragraphedeliste"/>
        <w:numPr>
          <w:ilvl w:val="0"/>
          <w:numId w:val="5"/>
        </w:numPr>
        <w:spacing w:after="240" w:line="360" w:lineRule="auto"/>
        <w:rPr>
          <w:rFonts w:asciiTheme="majorBidi" w:hAnsiTheme="majorBidi" w:cstheme="majorBidi"/>
          <w:sz w:val="24"/>
          <w:szCs w:val="24"/>
        </w:rPr>
      </w:pPr>
      <w:r w:rsidRPr="00790D49">
        <w:rPr>
          <w:rFonts w:asciiTheme="majorBidi" w:hAnsiTheme="majorBidi" w:cstheme="majorBidi"/>
          <w:sz w:val="24"/>
          <w:szCs w:val="24"/>
        </w:rPr>
        <w:t xml:space="preserve">Le 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nombre le plus élevé est dans </w:t>
      </w:r>
      <w:r w:rsidRPr="00790D49">
        <w:rPr>
          <w:rFonts w:asciiTheme="majorBidi" w:hAnsiTheme="majorBidi" w:cstheme="majorBidi"/>
          <w:sz w:val="24"/>
          <w:szCs w:val="24"/>
        </w:rPr>
        <w:t xml:space="preserve">les boites témoins, ensuite dans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les boites incubé</w:t>
      </w:r>
      <w:r w:rsidRPr="00790D49">
        <w:rPr>
          <w:rFonts w:asciiTheme="majorBidi" w:hAnsiTheme="majorBidi" w:cstheme="majorBidi"/>
          <w:sz w:val="24"/>
          <w:szCs w:val="24"/>
        </w:rPr>
        <w:t>es</w:t>
      </w:r>
      <w:r w:rsidR="00F322A8" w:rsidRPr="00790D49">
        <w:rPr>
          <w:rFonts w:asciiTheme="majorBidi" w:hAnsiTheme="majorBidi" w:cstheme="majorBidi"/>
          <w:sz w:val="24"/>
          <w:szCs w:val="24"/>
        </w:rPr>
        <w:t xml:space="preserve"> en phase claire en présence de  </w:t>
      </w:r>
      <w:r w:rsidR="00721F8E" w:rsidRPr="00790D49">
        <w:rPr>
          <w:rFonts w:asciiTheme="majorBidi" w:hAnsiTheme="majorBidi" w:cstheme="majorBidi"/>
          <w:sz w:val="24"/>
          <w:szCs w:val="24"/>
        </w:rPr>
        <w:t>la lumière</w:t>
      </w:r>
      <w:r w:rsidR="00F322A8" w:rsidRPr="00790D49">
        <w:rPr>
          <w:rFonts w:asciiTheme="majorBidi" w:hAnsiTheme="majorBidi" w:cstheme="majorBidi"/>
          <w:sz w:val="24"/>
          <w:szCs w:val="24"/>
        </w:rPr>
        <w:t xml:space="preserve"> blanche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et enfin</w:t>
      </w:r>
      <w:r w:rsidR="00F322A8" w:rsidRPr="00790D49">
        <w:rPr>
          <w:rFonts w:asciiTheme="majorBidi" w:hAnsiTheme="majorBidi" w:cstheme="majorBidi"/>
          <w:sz w:val="24"/>
          <w:szCs w:val="24"/>
        </w:rPr>
        <w:t xml:space="preserve"> dans 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les boites irradiées enveloppées. </w:t>
      </w:r>
      <w:r w:rsidR="00044E7B" w:rsidRPr="00790D49">
        <w:rPr>
          <w:rFonts w:asciiTheme="majorBidi" w:hAnsiTheme="majorBidi" w:cstheme="majorBidi"/>
          <w:sz w:val="24"/>
          <w:szCs w:val="24"/>
        </w:rPr>
        <w:t>Cela s’explique par le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principal</w:t>
      </w:r>
      <w:r w:rsidR="00044E7B" w:rsidRPr="00790D49">
        <w:rPr>
          <w:rFonts w:asciiTheme="majorBidi" w:hAnsiTheme="majorBidi" w:cstheme="majorBidi"/>
          <w:sz w:val="24"/>
          <w:szCs w:val="24"/>
        </w:rPr>
        <w:t xml:space="preserve"> effet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 des rayons UV </w:t>
      </w:r>
      <w:r w:rsidR="00044E7B" w:rsidRPr="00790D49">
        <w:rPr>
          <w:rFonts w:asciiTheme="majorBidi" w:hAnsiTheme="majorBidi" w:cstheme="majorBidi"/>
          <w:sz w:val="24"/>
          <w:szCs w:val="24"/>
        </w:rPr>
        <w:t>(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dimérisation des bases pyrimidiques essentiellement les thymines adjacentes) </w:t>
      </w:r>
      <w:r w:rsidR="00044E7B" w:rsidRPr="00790D49">
        <w:rPr>
          <w:rFonts w:asciiTheme="majorBidi" w:hAnsiTheme="majorBidi" w:cstheme="majorBidi"/>
          <w:sz w:val="24"/>
          <w:szCs w:val="24"/>
        </w:rPr>
        <w:t>et l</w:t>
      </w:r>
      <w:r w:rsidR="00721F8E" w:rsidRPr="00790D49">
        <w:rPr>
          <w:rFonts w:asciiTheme="majorBidi" w:hAnsiTheme="majorBidi" w:cstheme="majorBidi"/>
          <w:sz w:val="24"/>
          <w:szCs w:val="24"/>
        </w:rPr>
        <w:t>a réparation de cette mutation par le microorganisme et le rôle de la lumière blanche</w:t>
      </w:r>
      <w:r w:rsidR="00044E7B" w:rsidRPr="00790D49">
        <w:rPr>
          <w:rFonts w:asciiTheme="majorBidi" w:hAnsiTheme="majorBidi" w:cstheme="majorBidi"/>
          <w:sz w:val="24"/>
          <w:szCs w:val="24"/>
        </w:rPr>
        <w:t xml:space="preserve"> dans la stimulation de l’enzyme photolyase responsable de la réparation de cette mutation dont ce mécanisme s’</w:t>
      </w:r>
      <w:r w:rsidR="00A502F5" w:rsidRPr="00790D49">
        <w:rPr>
          <w:rFonts w:asciiTheme="majorBidi" w:hAnsiTheme="majorBidi" w:cstheme="majorBidi"/>
          <w:sz w:val="24"/>
          <w:szCs w:val="24"/>
        </w:rPr>
        <w:t>appelle photoréversion</w:t>
      </w:r>
      <w:r w:rsidR="00721F8E" w:rsidRPr="00790D49">
        <w:rPr>
          <w:rFonts w:asciiTheme="majorBidi" w:hAnsiTheme="majorBidi" w:cstheme="majorBidi"/>
          <w:sz w:val="24"/>
          <w:szCs w:val="24"/>
        </w:rPr>
        <w:t xml:space="preserve">.  </w:t>
      </w:r>
    </w:p>
    <w:p w:rsidR="00721F8E" w:rsidRPr="00790D49" w:rsidRDefault="00721F8E" w:rsidP="00790D49">
      <w:pPr>
        <w:spacing w:line="360" w:lineRule="auto"/>
        <w:rPr>
          <w:rFonts w:asciiTheme="majorBidi" w:hAnsiTheme="majorBidi" w:cstheme="majorBidi"/>
        </w:rPr>
      </w:pPr>
    </w:p>
    <w:p w:rsidR="0003161F" w:rsidRPr="00790D49" w:rsidRDefault="00721F8E" w:rsidP="00790D49">
      <w:pPr>
        <w:spacing w:line="360" w:lineRule="auto"/>
        <w:rPr>
          <w:rFonts w:asciiTheme="majorBidi" w:hAnsiTheme="majorBidi" w:cstheme="majorBidi"/>
        </w:rPr>
      </w:pPr>
      <w:r w:rsidRPr="00790D49">
        <w:rPr>
          <w:rFonts w:asciiTheme="majorBidi" w:hAnsiTheme="majorBidi" w:cstheme="majorBidi"/>
        </w:rPr>
        <w:t xml:space="preserve"> </w:t>
      </w:r>
    </w:p>
    <w:sectPr w:rsidR="0003161F" w:rsidRPr="00790D49" w:rsidSect="000316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5F" w:rsidRDefault="0030175F" w:rsidP="0005799A">
      <w:r>
        <w:separator/>
      </w:r>
    </w:p>
  </w:endnote>
  <w:endnote w:type="continuationSeparator" w:id="0">
    <w:p w:rsidR="0030175F" w:rsidRDefault="0030175F" w:rsidP="0005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672"/>
      <w:docPartObj>
        <w:docPartGallery w:val="Page Numbers (Bottom of Page)"/>
        <w:docPartUnique/>
      </w:docPartObj>
    </w:sdtPr>
    <w:sdtContent>
      <w:p w:rsidR="0005799A" w:rsidRDefault="00F63E8C">
        <w:pPr>
          <w:pStyle w:val="Pieddepage"/>
          <w:jc w:val="center"/>
        </w:pPr>
        <w:fldSimple w:instr=" PAGE   \* MERGEFORMAT ">
          <w:r w:rsidR="00000590">
            <w:rPr>
              <w:noProof/>
            </w:rPr>
            <w:t>1</w:t>
          </w:r>
        </w:fldSimple>
      </w:p>
    </w:sdtContent>
  </w:sdt>
  <w:p w:rsidR="0005799A" w:rsidRDefault="000579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5F" w:rsidRDefault="0030175F" w:rsidP="0005799A">
      <w:r>
        <w:separator/>
      </w:r>
    </w:p>
  </w:footnote>
  <w:footnote w:type="continuationSeparator" w:id="0">
    <w:p w:rsidR="0030175F" w:rsidRDefault="0030175F" w:rsidP="00057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B91"/>
    <w:multiLevelType w:val="hybridMultilevel"/>
    <w:tmpl w:val="B4BAD2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358A1"/>
    <w:multiLevelType w:val="hybridMultilevel"/>
    <w:tmpl w:val="FE0CC42C"/>
    <w:lvl w:ilvl="0" w:tplc="2500D7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5B1A"/>
    <w:multiLevelType w:val="hybridMultilevel"/>
    <w:tmpl w:val="163C6F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A5606"/>
    <w:multiLevelType w:val="hybridMultilevel"/>
    <w:tmpl w:val="E9D8B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4E6C"/>
    <w:multiLevelType w:val="hybridMultilevel"/>
    <w:tmpl w:val="94448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BEF"/>
    <w:rsid w:val="00000590"/>
    <w:rsid w:val="0003161F"/>
    <w:rsid w:val="00044E7B"/>
    <w:rsid w:val="0005799A"/>
    <w:rsid w:val="000A0B1E"/>
    <w:rsid w:val="000C6919"/>
    <w:rsid w:val="0030175F"/>
    <w:rsid w:val="00314895"/>
    <w:rsid w:val="00362EE9"/>
    <w:rsid w:val="003A5A7E"/>
    <w:rsid w:val="00457880"/>
    <w:rsid w:val="00517C56"/>
    <w:rsid w:val="005E2B8C"/>
    <w:rsid w:val="00721F8E"/>
    <w:rsid w:val="00790D49"/>
    <w:rsid w:val="00890A41"/>
    <w:rsid w:val="00A502F5"/>
    <w:rsid w:val="00A539AF"/>
    <w:rsid w:val="00A84346"/>
    <w:rsid w:val="00AF584D"/>
    <w:rsid w:val="00B646B3"/>
    <w:rsid w:val="00BF4187"/>
    <w:rsid w:val="00C33BEF"/>
    <w:rsid w:val="00D74071"/>
    <w:rsid w:val="00DA15DB"/>
    <w:rsid w:val="00DB14A1"/>
    <w:rsid w:val="00E30E2F"/>
    <w:rsid w:val="00F24E23"/>
    <w:rsid w:val="00F322A8"/>
    <w:rsid w:val="00F32954"/>
    <w:rsid w:val="00F6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057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79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7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9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2017-09-10T16:40:00Z</dcterms:created>
  <dcterms:modified xsi:type="dcterms:W3CDTF">2020-03-19T16:01:00Z</dcterms:modified>
</cp:coreProperties>
</file>