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96"/>
        <w:gridCol w:w="7351"/>
        <w:gridCol w:w="1134"/>
      </w:tblGrid>
      <w:tr w:rsidR="009F00F9" w:rsidTr="009F00F9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9F00F9" w:rsidRDefault="009F00F9">
            <w:pPr>
              <w:spacing w:line="276" w:lineRule="auto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57.75pt" o:ole="">
                  <v:imagedata r:id="rId8" o:title=""/>
                </v:shape>
                <o:OLEObject Type="Embed" ProgID="PBrush" ShapeID="_x0000_i1025" DrawAspect="Content" ObjectID="_1538478138" r:id="rId9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9F00F9" w:rsidRDefault="009F00F9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 id="_x0000_i1026" type="#_x0000_t75" style="width:52.3pt;height:59.1pt" o:ole="">
                  <v:imagedata r:id="rId8" o:title=""/>
                </v:shape>
                <o:OLEObject Type="Embed" ProgID="PBrush" ShapeID="_x0000_i1026" DrawAspect="Content" ObjectID="_1538478139" r:id="rId10"/>
              </w:object>
            </w:r>
          </w:p>
        </w:tc>
      </w:tr>
    </w:tbl>
    <w:p w:rsidR="000E31FC" w:rsidRPr="00FB7261" w:rsidRDefault="00C1062A" w:rsidP="000E31FC">
      <w:pPr>
        <w:rPr>
          <w:rFonts w:ascii="Cambria" w:hAnsi="Cambria"/>
        </w:rPr>
      </w:pPr>
      <w:bookmarkStart w:id="0" w:name="_Toc413532928"/>
      <w:r w:rsidRPr="00C1062A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0BA4" w:rsidRDefault="005F0BA4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F51DED" w:rsidRDefault="000E31FC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07FC9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0A0379" w:rsidRPr="00B5340F" w:rsidRDefault="00954524" w:rsidP="00B07FC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Instrumentation</w:t>
            </w:r>
            <w:r w:rsidR="00B07FC9" w:rsidRPr="00B5340F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96"/>
        <w:gridCol w:w="7351"/>
        <w:gridCol w:w="1134"/>
      </w:tblGrid>
      <w:tr w:rsidR="009F00F9" w:rsidTr="009F00F9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9F00F9" w:rsidRDefault="009F00F9">
            <w:pPr>
              <w:spacing w:line="276" w:lineRule="auto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 id="_x0000_i1027" type="#_x0000_t75" style="width:53.65pt;height:57.75pt" o:ole="">
                  <v:imagedata r:id="rId8" o:title=""/>
                </v:shape>
                <o:OLEObject Type="Embed" ProgID="PBrush" ShapeID="_x0000_i1027" DrawAspect="Content" ObjectID="_1538478140" r:id="rId11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9F00F9" w:rsidRDefault="009F00F9" w:rsidP="009F00F9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9F00F9" w:rsidRDefault="009F00F9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>
                <v:shape id="_x0000_i1028" type="#_x0000_t75" style="width:52.3pt;height:59.1pt" o:ole="">
                  <v:imagedata r:id="rId8" o:title=""/>
                </v:shape>
                <o:OLEObject Type="Embed" ProgID="PBrush" ShapeID="_x0000_i1028" DrawAspect="Content" ObjectID="_1538478141" r:id="rId12"/>
              </w:object>
            </w:r>
          </w:p>
        </w:tc>
      </w:tr>
    </w:tbl>
    <w:p w:rsidR="000E31FC" w:rsidRPr="00FB7261" w:rsidRDefault="00C1062A" w:rsidP="000E31FC">
      <w:pPr>
        <w:rPr>
          <w:rFonts w:ascii="Cambria" w:hAnsi="Cambria"/>
        </w:rPr>
      </w:pPr>
      <w:r w:rsidRPr="00C1062A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B07FC9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222226" w:rsidRPr="00B07FC9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AF21CE" w:rsidRPr="00B07FC9" w:rsidRDefault="00FC484B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C484B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الكترونيك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B07FC9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222226" w:rsidRPr="00B07FC9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8C4AE9" w:rsidRPr="00B07FC9" w:rsidRDefault="00FC484B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C484B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اداتية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7809D3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932C16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41"/>
        <w:gridCol w:w="1712"/>
        <w:gridCol w:w="131"/>
        <w:gridCol w:w="2977"/>
        <w:gridCol w:w="142"/>
        <w:gridCol w:w="1573"/>
        <w:gridCol w:w="1354"/>
      </w:tblGrid>
      <w:tr w:rsidR="00970747" w:rsidTr="001B55A0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bookmarkEnd w:id="1"/>
          <w:p w:rsidR="00970747" w:rsidRPr="005F0A00" w:rsidRDefault="00970747" w:rsidP="001B55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970747" w:rsidRPr="005F0A00" w:rsidRDefault="00970747" w:rsidP="001B55A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gridSpan w:val="2"/>
            <w:vAlign w:val="center"/>
          </w:tcPr>
          <w:p w:rsidR="00970747" w:rsidRPr="005F0A00" w:rsidRDefault="00970747" w:rsidP="001B55A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970747" w:rsidRPr="005F0A00" w:rsidRDefault="00970747" w:rsidP="001B55A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gridSpan w:val="2"/>
            <w:vAlign w:val="center"/>
          </w:tcPr>
          <w:p w:rsidR="00970747" w:rsidRPr="005F0A00" w:rsidRDefault="00970747" w:rsidP="001B55A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970747" w:rsidRPr="005F0A00" w:rsidRDefault="00970747" w:rsidP="001B55A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970747" w:rsidRPr="00421CCB" w:rsidTr="00970747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 w:val="restart"/>
            <w:vAlign w:val="center"/>
            <w:hideMark/>
          </w:tcPr>
          <w:p w:rsidR="00970747" w:rsidRDefault="00970747" w:rsidP="001B55A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Electronique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70747" w:rsidRDefault="00970747" w:rsidP="001B55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Instrumentation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970747" w:rsidTr="00970747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Télécommunications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970747" w:rsidTr="00970747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970747" w:rsidTr="00970747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970747" w:rsidTr="00970747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970747" w:rsidTr="00970747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0.65</w:t>
            </w:r>
          </w:p>
        </w:tc>
      </w:tr>
      <w:tr w:rsidR="00970747" w:rsidTr="00970747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70747" w:rsidRPr="005F0A00" w:rsidRDefault="00970747" w:rsidP="001B55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970747" w:rsidRPr="003D68AB" w:rsidRDefault="00970747" w:rsidP="001B55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:rsidR="00970747" w:rsidRPr="0048317C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970747" w:rsidRDefault="00970747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EA0903" w:rsidRDefault="00EA0903" w:rsidP="00EA0903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EA0903" w:rsidRDefault="00EA0903" w:rsidP="00EA090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EA0903" w:rsidRDefault="00EA0903" w:rsidP="00EA0903">
      <w:pPr>
        <w:jc w:val="center"/>
        <w:rPr>
          <w:rFonts w:ascii="Calibri" w:hAnsi="Calibri" w:cs="Calibri"/>
          <w:b/>
          <w:sz w:val="32"/>
          <w:szCs w:val="32"/>
        </w:rPr>
      </w:pPr>
    </w:p>
    <w:p w:rsidR="00EA0903" w:rsidRDefault="00EA0903" w:rsidP="00EA0903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7809D3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8"/>
        <w:gridCol w:w="3275"/>
        <w:gridCol w:w="565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954524" w:rsidRPr="008A3D44" w:rsidTr="007809D3">
        <w:trPr>
          <w:cnfStyle w:val="100000000000"/>
          <w:trHeight w:val="604"/>
          <w:jc w:val="center"/>
        </w:trPr>
        <w:tc>
          <w:tcPr>
            <w:cnfStyle w:val="00100000010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697C96" w:rsidRPr="008A3D44" w:rsidTr="007809D3">
        <w:trPr>
          <w:cnfStyle w:val="000000100000"/>
          <w:trHeight w:val="757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54524" w:rsidRPr="00A219F0" w:rsidRDefault="00954524" w:rsidP="00D75CA9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:rsidTr="007809D3">
        <w:trPr>
          <w:trHeight w:val="533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d’instrumentation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/>
          <w:trHeight w:val="416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>Capteurs en instrumentation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452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Traitement avancé du signal</w:t>
            </w:r>
            <w:r w:rsidRPr="00A219F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/>
          <w:trHeight w:val="418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>Métrologie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531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TP Electronique d’instrumentation 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954524" w:rsidRPr="008A3D44" w:rsidTr="007809D3">
        <w:trPr>
          <w:cnfStyle w:val="000000100000"/>
          <w:trHeight w:val="450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 xml:space="preserve">TP Capteurs en instrumentation industrielle 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trHeight w:val="450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A219F0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TP Traitement avancé du signal/TP </w:t>
            </w:r>
            <w:r w:rsidRPr="00A219F0">
              <w:rPr>
                <w:rFonts w:asciiTheme="majorHAnsi" w:hAnsiTheme="majorHAnsi" w:cs="Arial"/>
                <w:sz w:val="20"/>
                <w:szCs w:val="20"/>
              </w:rPr>
              <w:t>Métrologie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cnfStyle w:val="000000100000"/>
          <w:trHeight w:val="444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Programmation</w:t>
            </w:r>
            <w:r w:rsidR="00D75CA9" w:rsidRPr="00A219F0">
              <w:rPr>
                <w:rFonts w:asciiTheme="majorHAnsi" w:eastAsia="Calibri" w:hAnsiTheme="majorHAnsi" w:cs="Calibri"/>
                <w:lang w:eastAsia="en-US"/>
              </w:rPr>
              <w:t xml:space="preserve"> orienté objet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642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/>
          <w:trHeight w:val="444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trHeight w:val="360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A219F0" w:rsidP="000B3E44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/>
          <w:trHeight w:val="288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A219F0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A219F0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A219F0" w:rsidP="00A219F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:rsidR="00954524" w:rsidRDefault="00954524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:rsidR="007809D3" w:rsidRDefault="007809D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3"/>
        <w:gridCol w:w="540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954524" w:rsidRPr="008A3D44" w:rsidTr="007809D3">
        <w:trPr>
          <w:cnfStyle w:val="100000000000"/>
          <w:trHeight w:val="604"/>
          <w:jc w:val="center"/>
        </w:trPr>
        <w:tc>
          <w:tcPr>
            <w:cnfStyle w:val="00100000010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697C96" w:rsidRPr="008A3D44" w:rsidTr="007809D3">
        <w:trPr>
          <w:cnfStyle w:val="000000100000"/>
          <w:trHeight w:val="757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54524" w:rsidRPr="00A219F0" w:rsidRDefault="00954524" w:rsidP="00D75CA9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:rsidTr="007809D3">
        <w:trPr>
          <w:trHeight w:val="533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Microprocesseurs &amp; DSP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/>
          <w:trHeight w:val="416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hAnsiTheme="majorHAnsi"/>
              </w:rPr>
              <w:t xml:space="preserve">Systèmes  asservis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45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Electronique numérique avancée : FPGA - VHDL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/>
          <w:trHeight w:val="418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Bus de communication</w:t>
            </w:r>
            <w:r w:rsidRPr="00A219F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531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 w:cs="Arial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Pr="00A219F0">
              <w:rPr>
                <w:rFonts w:asciiTheme="majorHAnsi" w:hAnsiTheme="majorHAnsi" w:cs="Arial"/>
              </w:rPr>
              <w:t>Microprocesseurs &amp; DSP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54524" w:rsidRPr="008A3D44" w:rsidTr="007809D3">
        <w:trPr>
          <w:cnfStyle w:val="000000100000"/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 xml:space="preserve">TP </w:t>
            </w:r>
            <w:r w:rsidRPr="00A219F0">
              <w:rPr>
                <w:rFonts w:asciiTheme="majorHAnsi" w:hAnsiTheme="majorHAnsi"/>
              </w:rPr>
              <w:t xml:space="preserve">Systèmes  asservis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1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TP Electronique numérique avancée : FPGA - VHDL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0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Avant-projet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64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E35FB4" w:rsidP="00D75CA9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F314CE" w:rsidRPr="00A219F0"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trHeight w:val="360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70747" w:rsidP="00E35FB4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/>
          <w:trHeight w:val="288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A219F0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A219F0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A219F0" w:rsidP="00A219F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3"/>
        <w:gridCol w:w="540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954524" w:rsidRPr="008A3D44" w:rsidTr="007809D3">
        <w:trPr>
          <w:cnfStyle w:val="100000000000"/>
          <w:trHeight w:val="604"/>
          <w:jc w:val="center"/>
        </w:trPr>
        <w:tc>
          <w:tcPr>
            <w:cnfStyle w:val="00100000010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</w:rPr>
            </w:pPr>
            <w:r w:rsidRPr="008A3D44">
              <w:rPr>
                <w:rFonts w:asciiTheme="majorHAnsi" w:eastAsia="Calibri" w:hAnsiTheme="majorHAnsi" w:cs="Calibri"/>
              </w:rPr>
              <w:t>Volume Horaire Semestriel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</w:rPr>
            </w:pPr>
            <w:r w:rsidRPr="008A3D44">
              <w:rPr>
                <w:rFonts w:asciiTheme="majorHAnsi" w:eastAsia="Calibri" w:hAnsiTheme="majorHAnsi" w:cs="Calibri"/>
              </w:rPr>
              <w:t>Travail Complémentaire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Mode d’évaluation</w:t>
            </w:r>
          </w:p>
        </w:tc>
      </w:tr>
      <w:tr w:rsidR="00697C96" w:rsidRPr="008A3D44" w:rsidTr="007809D3">
        <w:trPr>
          <w:cnfStyle w:val="000000100000"/>
          <w:trHeight w:val="757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54524" w:rsidRPr="00A219F0" w:rsidRDefault="00954524" w:rsidP="00D75CA9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:rsidTr="007809D3">
        <w:trPr>
          <w:trHeight w:val="533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de puissance avancée</w:t>
            </w:r>
            <w:r w:rsidRPr="00A219F0">
              <w:rPr>
                <w:rFonts w:asciiTheme="majorHAnsi" w:eastAsia="Calibri" w:hAnsiTheme="majorHAnsi" w:cs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/>
          <w:trHeight w:val="416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theme="majorBidi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Actionneurs industriels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45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theme="majorBidi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Systèmes à événements discrets &amp; API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cnfStyle w:val="000000100000"/>
          <w:trHeight w:val="418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/>
              </w:rPr>
              <w:t>Eléments de régulation 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531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theme="majorBidi"/>
                <w:lang w:eastAsia="en-US"/>
              </w:rPr>
              <w:t xml:space="preserve">TP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de puissance avancée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54524" w:rsidRPr="008A3D44" w:rsidTr="007809D3">
        <w:trPr>
          <w:cnfStyle w:val="000000100000"/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A219F0">
              <w:rPr>
                <w:rFonts w:asciiTheme="majorHAnsi" w:hAnsiTheme="majorHAnsi" w:cs="Arial"/>
                <w:sz w:val="20"/>
                <w:szCs w:val="20"/>
              </w:rPr>
              <w:t xml:space="preserve">Actionneurs industriels/TP </w:t>
            </w:r>
            <w:r w:rsidRPr="00A219F0">
              <w:rPr>
                <w:rFonts w:asciiTheme="majorHAnsi" w:hAnsiTheme="majorHAnsi"/>
                <w:sz w:val="20"/>
                <w:szCs w:val="20"/>
              </w:rPr>
              <w:t>Eléments de régulation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1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TP API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jc w:val="center"/>
              <w:cnfStyle w:val="0000000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954524" w:rsidRPr="008A3D44" w:rsidTr="007809D3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54524" w:rsidP="00D75CA9">
            <w:pPr>
              <w:pStyle w:val="Default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A219F0">
              <w:rPr>
                <w:rFonts w:asciiTheme="majorHAnsi" w:hAnsiTheme="majorHAnsi" w:cs="Calibri"/>
                <w:sz w:val="22"/>
                <w:szCs w:val="22"/>
              </w:rPr>
              <w:t>Fiabilité et maintenance des systèmes électroniques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B40F79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B40F7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B40F79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B40F79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:rsidTr="007809D3">
        <w:trPr>
          <w:trHeight w:val="64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970747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970747" w:rsidP="00970747">
            <w:pPr>
              <w:cnfStyle w:val="000000000000"/>
              <w:rPr>
                <w:rFonts w:asciiTheme="majorHAnsi" w:hAnsiTheme="majorHAnsi" w:cstheme="majorBid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A219F0" w:rsidRDefault="00E35FB4" w:rsidP="00D75CA9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trHeight w:val="360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A219F0" w:rsidRDefault="00970747" w:rsidP="00D75CA9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954524" w:rsidRPr="008A3D44" w:rsidTr="007809D3">
        <w:trPr>
          <w:cnfStyle w:val="000000100000"/>
          <w:trHeight w:val="288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A219F0" w:rsidRDefault="00954524" w:rsidP="00D75CA9">
            <w:pPr>
              <w:cnfStyle w:val="00000010000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1213B8" w:rsidRPr="00941639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7809D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B07FC9" w:rsidRPr="00B954FA" w:rsidRDefault="00B07FC9" w:rsidP="00B07FC9">
      <w:p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b/>
          <w:bCs/>
          <w:lang w:eastAsia="fr-FR"/>
        </w:rPr>
        <w:lastRenderedPageBreak/>
        <w:t>Orientations générales sur le choix des matières transversales et de découverte :</w:t>
      </w:r>
    </w:p>
    <w:p w:rsidR="00B07FC9" w:rsidRPr="00B954FA" w:rsidRDefault="00B07FC9" w:rsidP="00B07FC9">
      <w:pPr>
        <w:jc w:val="both"/>
        <w:rPr>
          <w:rFonts w:asciiTheme="majorHAnsi" w:eastAsia="Times New Roman" w:hAnsiTheme="majorHAnsi"/>
          <w:lang w:eastAsia="fr-FR"/>
        </w:rPr>
      </w:pPr>
    </w:p>
    <w:p w:rsidR="00B07FC9" w:rsidRDefault="00970747" w:rsidP="00970747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Six</w:t>
      </w:r>
      <w:r w:rsidR="00B07FC9" w:rsidRPr="00EE0480">
        <w:rPr>
          <w:rFonts w:asciiTheme="majorHAnsi" w:eastAsia="Times New Roman" w:hAnsiTheme="majorHAnsi"/>
          <w:lang w:eastAsia="fr-FR"/>
        </w:rPr>
        <w:t xml:space="preserve"> matières (de découverte)</w:t>
      </w:r>
      <w:r w:rsidR="00B07FC9" w:rsidRPr="00B954FA">
        <w:rPr>
          <w:rFonts w:asciiTheme="majorHAnsi" w:eastAsia="Times New Roman" w:hAnsiTheme="majorHAnsi"/>
          <w:lang w:eastAsia="fr-FR"/>
        </w:rPr>
        <w:t xml:space="preserve"> dans le Référentiel des Matières du Master ‘</w:t>
      </w:r>
      <w:r w:rsidR="008C6EEA">
        <w:rPr>
          <w:rFonts w:asciiTheme="majorHAnsi" w:eastAsia="Times New Roman" w:hAnsiTheme="majorHAnsi"/>
          <w:lang w:eastAsia="fr-FR"/>
        </w:rPr>
        <w:t>’Instrumentation</w:t>
      </w:r>
      <w:r w:rsidR="003F6B0D">
        <w:rPr>
          <w:rFonts w:asciiTheme="majorHAnsi" w:eastAsia="Times New Roman" w:hAnsiTheme="majorHAnsi"/>
          <w:lang w:eastAsia="fr-FR"/>
        </w:rPr>
        <w:t xml:space="preserve">’’ </w:t>
      </w:r>
      <w:r w:rsidR="00B07FC9" w:rsidRPr="00B954FA">
        <w:rPr>
          <w:rFonts w:asciiTheme="majorHAnsi" w:eastAsia="Times New Roman" w:hAnsiTheme="majorHAnsi"/>
          <w:lang w:eastAsia="fr-FR"/>
        </w:rPr>
        <w:t xml:space="preserve">(Tableau ci-dessus) sont laissées au </w:t>
      </w:r>
      <w:r w:rsidR="00B07FC9">
        <w:rPr>
          <w:rFonts w:asciiTheme="majorHAnsi" w:eastAsia="Times New Roman" w:hAnsiTheme="majorHAnsi"/>
          <w:lang w:eastAsia="fr-FR"/>
        </w:rPr>
        <w:t xml:space="preserve">libre choix des établissements qui </w:t>
      </w:r>
      <w:r w:rsidR="00B07FC9" w:rsidRPr="00FD2649">
        <w:rPr>
          <w:rFonts w:asciiTheme="majorHAnsi" w:eastAsia="Times New Roman" w:hAnsiTheme="majorHAnsi"/>
          <w:lang w:eastAsia="fr-FR"/>
        </w:rPr>
        <w:t>peu</w:t>
      </w:r>
      <w:r w:rsidR="00B07FC9">
        <w:rPr>
          <w:rFonts w:asciiTheme="majorHAnsi" w:eastAsia="Times New Roman" w:hAnsiTheme="majorHAnsi"/>
          <w:lang w:eastAsia="fr-FR"/>
        </w:rPr>
        <w:t>ven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t choisir indifféremment </w:t>
      </w:r>
      <w:r w:rsidR="00B07FC9">
        <w:rPr>
          <w:rFonts w:asciiTheme="majorHAnsi" w:eastAsia="Times New Roman" w:hAnsiTheme="majorHAnsi"/>
          <w:lang w:eastAsia="fr-FR"/>
        </w:rPr>
        <w:t>leurs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 matières </w:t>
      </w:r>
      <w:r w:rsidR="00B07FC9">
        <w:rPr>
          <w:rFonts w:asciiTheme="majorHAnsi" w:eastAsia="Times New Roman" w:hAnsiTheme="majorHAnsi"/>
          <w:lang w:eastAsia="fr-FR"/>
        </w:rPr>
        <w:t xml:space="preserve">parmi la liste présentée ci-dessous 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en fonction de </w:t>
      </w:r>
      <w:r w:rsidR="00B07FC9">
        <w:rPr>
          <w:rFonts w:asciiTheme="majorHAnsi" w:eastAsia="Times New Roman" w:hAnsiTheme="majorHAnsi"/>
          <w:lang w:eastAsia="fr-FR"/>
        </w:rPr>
        <w:t xml:space="preserve">leurs priorités. </w:t>
      </w:r>
    </w:p>
    <w:p w:rsidR="00E35534" w:rsidRDefault="00B07FC9" w:rsidP="00E35534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A titre d’exemple, une proposition du cpnd pour le choix des matières est fournie ci-dessou</w:t>
      </w:r>
      <w:r w:rsidR="00E35534">
        <w:rPr>
          <w:rFonts w:asciiTheme="majorHAnsi" w:eastAsia="Times New Roman" w:hAnsiTheme="majorHAnsi"/>
          <w:lang w:eastAsia="fr-FR"/>
        </w:rPr>
        <w:t>s avec les programmes détaillés pour le semestre 1.</w:t>
      </w:r>
    </w:p>
    <w:p w:rsidR="00B07FC9" w:rsidRPr="00B954FA" w:rsidRDefault="00B07FC9" w:rsidP="00B07FC9">
      <w:pPr>
        <w:rPr>
          <w:rFonts w:asciiTheme="majorHAnsi" w:eastAsia="Times New Roman" w:hAnsiTheme="majorHAnsi"/>
          <w:lang w:eastAsia="fr-FR"/>
        </w:rPr>
      </w:pPr>
    </w:p>
    <w:p w:rsidR="00B07FC9" w:rsidRPr="00B954FA" w:rsidRDefault="00B07FC9" w:rsidP="008C6EEA">
      <w:pPr>
        <w:shd w:val="clear" w:color="auto" w:fill="FFFFFF"/>
        <w:textAlignment w:val="baseline"/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Matières proposées par le CPND </w:t>
      </w:r>
      <w:r w:rsidR="008C6EEA">
        <w:rPr>
          <w:rFonts w:asciiTheme="majorHAnsi" w:eastAsia="Times New Roman" w:hAnsiTheme="majorHAnsi" w:cs="Segoe UI"/>
          <w:b/>
          <w:bCs/>
          <w:color w:val="000000"/>
          <w:lang w:eastAsia="fr-FR"/>
        </w:rPr>
        <w:t>pour le semestre 1</w:t>
      </w: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 : </w:t>
      </w:r>
      <w:r>
        <w:rPr>
          <w:rFonts w:asciiTheme="majorHAnsi" w:eastAsia="Times New Roman" w:hAnsiTheme="majorHAnsi"/>
          <w:b/>
          <w:bCs/>
          <w:lang w:eastAsia="fr-FR"/>
        </w:rPr>
        <w:t>(a</w:t>
      </w:r>
      <w:r w:rsidRPr="00B954FA">
        <w:rPr>
          <w:rFonts w:asciiTheme="majorHAnsi" w:eastAsia="Times New Roman" w:hAnsiTheme="majorHAnsi"/>
          <w:b/>
          <w:bCs/>
          <w:lang w:eastAsia="fr-FR"/>
        </w:rPr>
        <w:t>vec programme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 xml:space="preserve"> détaillé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>)</w:t>
      </w:r>
    </w:p>
    <w:p w:rsidR="00B07FC9" w:rsidRPr="008C6EEA" w:rsidRDefault="00B07FC9" w:rsidP="008C6EEA">
      <w:pPr>
        <w:rPr>
          <w:rFonts w:asciiTheme="majorHAnsi" w:hAnsiTheme="majorHAnsi" w:cstheme="majorBidi"/>
        </w:rPr>
      </w:pPr>
    </w:p>
    <w:p w:rsidR="00B07FC9" w:rsidRPr="008C6EEA" w:rsidRDefault="008C6EEA" w:rsidP="00296541">
      <w:pPr>
        <w:pStyle w:val="Paragraphedeliste"/>
        <w:numPr>
          <w:ilvl w:val="0"/>
          <w:numId w:val="5"/>
        </w:numPr>
        <w:rPr>
          <w:rFonts w:asciiTheme="majorHAnsi" w:hAnsiTheme="majorHAnsi" w:cstheme="majorBidi"/>
        </w:rPr>
      </w:pPr>
      <w:r w:rsidRPr="008C6EEA">
        <w:rPr>
          <w:rFonts w:asciiTheme="majorHAnsi" w:hAnsiTheme="majorHAnsi" w:cstheme="majorBidi"/>
        </w:rPr>
        <w:t> </w:t>
      </w:r>
      <w:r w:rsidR="00B07FC9" w:rsidRPr="008C6EEA">
        <w:rPr>
          <w:rFonts w:asciiTheme="majorHAnsi" w:hAnsiTheme="majorHAnsi" w:cstheme="majorBidi"/>
        </w:rPr>
        <w:t>Choix 1</w:t>
      </w:r>
      <w:r w:rsidRPr="008C6EEA">
        <w:rPr>
          <w:rFonts w:asciiTheme="majorHAnsi" w:hAnsiTheme="majorHAnsi" w:cstheme="majorBidi"/>
        </w:rPr>
        <w:t xml:space="preserve"> : </w:t>
      </w:r>
      <w:r w:rsidRPr="008C6EEA">
        <w:rPr>
          <w:rFonts w:asciiTheme="majorHAnsi" w:eastAsia="Calibri" w:hAnsiTheme="majorHAnsi" w:cs="Calibri"/>
          <w:lang w:eastAsia="en-US"/>
        </w:rPr>
        <w:t>Opt</w:t>
      </w:r>
      <w:r>
        <w:rPr>
          <w:rFonts w:asciiTheme="majorHAnsi" w:eastAsia="Calibri" w:hAnsiTheme="majorHAnsi" w:cs="Calibri"/>
          <w:lang w:eastAsia="en-US"/>
        </w:rPr>
        <w:t>oélectr</w:t>
      </w:r>
      <w:r w:rsidRPr="008C6EEA">
        <w:rPr>
          <w:rFonts w:asciiTheme="majorHAnsi" w:eastAsia="Calibri" w:hAnsiTheme="majorHAnsi" w:cs="Calibri"/>
          <w:lang w:eastAsia="en-US"/>
        </w:rPr>
        <w:t>onique</w:t>
      </w:r>
      <w:r>
        <w:rPr>
          <w:rFonts w:asciiTheme="majorHAnsi" w:eastAsia="Calibri" w:hAnsiTheme="majorHAnsi" w:cs="Calibri"/>
          <w:b/>
          <w:bCs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B07FC9" w:rsidRPr="008C6EEA" w:rsidRDefault="00B07FC9" w:rsidP="00296541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bCs/>
        </w:rPr>
      </w:pPr>
      <w:r w:rsidRPr="00B954FA">
        <w:rPr>
          <w:rFonts w:asciiTheme="majorHAnsi" w:hAnsiTheme="majorHAnsi" w:cstheme="majorBidi"/>
        </w:rPr>
        <w:t> Choix 2</w:t>
      </w:r>
      <w:r w:rsidR="008C6EEA">
        <w:rPr>
          <w:rFonts w:asciiTheme="majorHAnsi" w:hAnsiTheme="majorHAnsi" w:cstheme="majorBidi"/>
        </w:rPr>
        <w:t xml:space="preserve"> : </w:t>
      </w:r>
      <w:r w:rsidR="008C6EEA" w:rsidRPr="008C6EEA">
        <w:rPr>
          <w:rFonts w:asciiTheme="majorHAnsi" w:eastAsia="Calibri" w:hAnsiTheme="majorHAnsi" w:cs="Calibri"/>
          <w:lang w:eastAsia="en-US"/>
        </w:rPr>
        <w:t xml:space="preserve">Systèmes énergétiques autonomes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B07FC9" w:rsidRPr="00970747" w:rsidRDefault="00B07FC9" w:rsidP="00296541">
      <w:pPr>
        <w:pStyle w:val="Paragraphedeliste"/>
        <w:numPr>
          <w:ilvl w:val="0"/>
          <w:numId w:val="5"/>
        </w:numPr>
        <w:rPr>
          <w:rFonts w:asciiTheme="majorHAnsi" w:eastAsia="Times New Roman" w:hAnsiTheme="majorHAnsi" w:cs="Segoe UI"/>
          <w:lang w:eastAsia="fr-FR"/>
        </w:rPr>
      </w:pPr>
      <w:r w:rsidRPr="00970747">
        <w:rPr>
          <w:rFonts w:asciiTheme="majorHAnsi" w:eastAsia="Times New Roman" w:hAnsiTheme="majorHAnsi"/>
          <w:lang w:eastAsia="fr-FR"/>
        </w:rPr>
        <w:t> </w:t>
      </w:r>
      <w:r w:rsidRPr="00970747">
        <w:rPr>
          <w:rFonts w:asciiTheme="majorHAnsi" w:hAnsiTheme="majorHAnsi" w:cstheme="majorBidi"/>
        </w:rPr>
        <w:t> </w:t>
      </w:r>
    </w:p>
    <w:p w:rsidR="00B07FC9" w:rsidRPr="00B954FA" w:rsidRDefault="00B07FC9" w:rsidP="00B07FC9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lang w:eastAsia="fr-FR"/>
        </w:rPr>
        <w:t xml:space="preserve">Autres matières laissées au </w:t>
      </w:r>
      <w:r w:rsidR="008B019D">
        <w:rPr>
          <w:rFonts w:asciiTheme="majorHAnsi" w:eastAsia="Times New Roman" w:hAnsiTheme="majorHAnsi" w:cs="Segoe UI"/>
          <w:b/>
          <w:bCs/>
          <w:lang w:eastAsia="fr-FR"/>
        </w:rPr>
        <w:t xml:space="preserve">libre </w:t>
      </w:r>
      <w:r w:rsidRPr="00B954FA">
        <w:rPr>
          <w:rFonts w:asciiTheme="majorHAnsi" w:eastAsia="Times New Roman" w:hAnsiTheme="majorHAnsi" w:cs="Segoe UI"/>
          <w:b/>
          <w:bCs/>
          <w:lang w:eastAsia="fr-FR"/>
        </w:rPr>
        <w:t>choix des établissements (programmes ouverts après validation du CPND)</w:t>
      </w:r>
    </w:p>
    <w:p w:rsidR="00B07FC9" w:rsidRPr="00B954FA" w:rsidRDefault="00B07FC9" w:rsidP="00B07FC9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</w:p>
    <w:p w:rsidR="008C6EEA" w:rsidRPr="008C6EEA" w:rsidRDefault="008C6EEA" w:rsidP="00296541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Systèmes d’affichage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8C6EEA">
        <w:rPr>
          <w:rFonts w:asciiTheme="majorHAnsi" w:eastAsia="Calibri" w:hAnsiTheme="majorHAnsi" w:cs="Calibri"/>
          <w:lang w:eastAsia="en-US"/>
        </w:rPr>
        <w:t>Instruments de mesure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8C6EEA">
        <w:rPr>
          <w:rFonts w:asciiTheme="majorHAnsi" w:hAnsiTheme="majorHAnsi" w:cstheme="majorBidi"/>
        </w:rPr>
        <w:t>Mesures en haute fréquence</w:t>
      </w:r>
      <w:r>
        <w:rPr>
          <w:rFonts w:asciiTheme="majorHAnsi" w:hAnsiTheme="majorHAnsi" w:cstheme="majorBidi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Compatibilité électromagnétique</w:t>
      </w:r>
      <w:r>
        <w:rPr>
          <w:rFonts w:asciiTheme="majorHAnsi" w:eastAsia="Calibri" w:hAnsiTheme="majorHAnsi" w:cs="Calibri"/>
          <w:lang w:eastAsia="en-US"/>
        </w:rPr>
        <w:t xml:space="preserve"> (</w:t>
      </w:r>
      <w:r>
        <w:rPr>
          <w:rFonts w:asciiTheme="majorHAnsi" w:eastAsia="Times New Roman" w:hAnsiTheme="majorHAnsi"/>
          <w:lang w:eastAsia="fr-FR"/>
        </w:rPr>
        <w:t>Transversale)</w:t>
      </w:r>
    </w:p>
    <w:p w:rsidR="00B07FC9" w:rsidRPr="00B954FA" w:rsidRDefault="008C6EEA" w:rsidP="00296541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8C6EEA">
        <w:rPr>
          <w:rFonts w:asciiTheme="majorHAnsi" w:eastAsia="Calibri" w:hAnsiTheme="majorHAnsi" w:cs="Calibri"/>
          <w:lang w:eastAsia="en-US"/>
        </w:rPr>
        <w:t>Electroacoustique</w:t>
      </w:r>
      <w:r>
        <w:rPr>
          <w:rFonts w:asciiTheme="majorHAnsi" w:eastAsia="Times New Roman" w:hAnsiTheme="majorHAnsi"/>
          <w:lang w:eastAsia="fr-FR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Télégestion industrielle (SCADA)</w:t>
      </w:r>
      <w:r w:rsidR="008C6EEA">
        <w:rPr>
          <w:rFonts w:asciiTheme="majorHAnsi" w:eastAsia="Calibri" w:hAnsiTheme="majorHAnsi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Théorie de la commande des systèmes industriels</w:t>
      </w:r>
      <w:r w:rsidR="008C6EEA">
        <w:rPr>
          <w:rFonts w:asciiTheme="majorHAnsi" w:eastAsia="Calibri" w:hAnsiTheme="majorHAnsi" w:cs="Calibri"/>
          <w:lang w:eastAsia="en-US"/>
        </w:rPr>
        <w:t xml:space="preserve"> (</w:t>
      </w:r>
      <w:r w:rsidR="008C6EEA" w:rsidRPr="00B954FA">
        <w:rPr>
          <w:rFonts w:asciiTheme="majorHAnsi" w:eastAsia="Times New Roman" w:hAnsiTheme="majorHAnsi"/>
          <w:lang w:eastAsia="fr-FR"/>
        </w:rPr>
        <w:t>Découverte</w:t>
      </w:r>
      <w:r w:rsidR="008C6EEA">
        <w:rPr>
          <w:rFonts w:asciiTheme="majorHAnsi" w:eastAsia="Times New Roman" w:hAnsiTheme="majorHAnsi"/>
          <w:lang w:eastAsia="fr-FR"/>
        </w:rPr>
        <w:t>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Capteurs intelligents en instrumentation industrielle</w:t>
      </w:r>
      <w:r w:rsidR="008C6EEA">
        <w:rPr>
          <w:rFonts w:asciiTheme="majorHAnsi" w:eastAsia="Calibri" w:hAnsiTheme="majorHAnsi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Theme="majorHAnsi" w:eastAsia="Calibri" w:hAnsiTheme="majorHAnsi" w:cs="Calibri"/>
          <w:lang w:eastAsia="en-US"/>
        </w:rPr>
        <w:t xml:space="preserve">Réglage des entrainements électriques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:rsidR="008C6EEA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="Cambria" w:eastAsia="Calibri" w:hAnsi="Cambria" w:cs="Calibri"/>
          <w:lang w:eastAsia="en-US"/>
        </w:rPr>
        <w:t>Sécurité électrique en milieu industriel</w:t>
      </w:r>
      <w:r w:rsidR="008C6EEA">
        <w:rPr>
          <w:rFonts w:ascii="Cambria" w:eastAsia="Calibri" w:hAnsi="Cambria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</w:t>
      </w:r>
      <w:r w:rsidR="008C6EEA">
        <w:rPr>
          <w:rFonts w:asciiTheme="majorHAnsi" w:eastAsia="Times New Roman" w:hAnsiTheme="majorHAnsi"/>
          <w:lang w:eastAsia="fr-FR"/>
        </w:rPr>
        <w:t>Transversale</w:t>
      </w:r>
      <w:r w:rsidR="008C6EEA" w:rsidRPr="00B954FA">
        <w:rPr>
          <w:rFonts w:asciiTheme="majorHAnsi" w:eastAsia="Times New Roman" w:hAnsiTheme="majorHAnsi"/>
          <w:lang w:eastAsia="fr-FR"/>
        </w:rPr>
        <w:t>)</w:t>
      </w:r>
    </w:p>
    <w:p w:rsidR="00954524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="Cambria" w:eastAsia="Calibri" w:hAnsi="Cambria" w:cs="Calibri"/>
          <w:lang w:eastAsia="en-US"/>
        </w:rPr>
        <w:t>…</w:t>
      </w:r>
    </w:p>
    <w:p w:rsidR="00970747" w:rsidRPr="00792723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970747" w:rsidRPr="00792723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970747" w:rsidRPr="00792723" w:rsidRDefault="00970747" w:rsidP="00970747">
      <w:pPr>
        <w:rPr>
          <w:rFonts w:asciiTheme="majorHAnsi" w:hAnsiTheme="majorHAnsi" w:cs="Arial"/>
        </w:rPr>
      </w:pPr>
    </w:p>
    <w:p w:rsidR="00970747" w:rsidRPr="00792723" w:rsidRDefault="00970747" w:rsidP="00970747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970747" w:rsidRPr="00792723" w:rsidRDefault="00970747" w:rsidP="00970747">
      <w:pPr>
        <w:rPr>
          <w:rFonts w:asciiTheme="majorHAnsi" w:hAnsiTheme="majorHAnsi" w:cs="Arial"/>
          <w:b/>
        </w:rPr>
      </w:pPr>
    </w:p>
    <w:p w:rsidR="00970747" w:rsidRPr="00792723" w:rsidRDefault="00970747" w:rsidP="00970747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970747" w:rsidRPr="00792723" w:rsidTr="001B55A0">
        <w:trPr>
          <w:cnfStyle w:val="100000000000"/>
        </w:trPr>
        <w:tc>
          <w:tcPr>
            <w:cnfStyle w:val="001000000000"/>
            <w:tcW w:w="2444" w:type="dxa"/>
          </w:tcPr>
          <w:p w:rsidR="00970747" w:rsidRPr="00792723" w:rsidRDefault="00970747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970747" w:rsidRPr="00792723" w:rsidRDefault="00970747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970747" w:rsidRPr="00792723" w:rsidRDefault="00970747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970747" w:rsidRPr="00792723" w:rsidRDefault="00970747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970747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970747" w:rsidRPr="00792723" w:rsidTr="001B55A0">
        <w:tc>
          <w:tcPr>
            <w:cnfStyle w:val="00100000000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970747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970747" w:rsidRPr="00792723" w:rsidTr="001B55A0">
        <w:tc>
          <w:tcPr>
            <w:cnfStyle w:val="00100000000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970747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970747" w:rsidRPr="00792723" w:rsidRDefault="00970747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970747" w:rsidRPr="00F02282" w:rsidRDefault="00970747" w:rsidP="00970747">
      <w:pPr>
        <w:rPr>
          <w:rFonts w:asciiTheme="majorHAnsi" w:hAnsiTheme="majorHAnsi" w:cs="Calibri"/>
          <w:bCs/>
        </w:rPr>
      </w:pP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954524" w:rsidRPr="00D64B8B" w:rsidRDefault="00954524" w:rsidP="00954524"/>
    <w:sectPr w:rsidR="00954524" w:rsidRPr="00D64B8B" w:rsidSect="007809D3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16" w:rsidRDefault="00341216" w:rsidP="0003174A">
      <w:r>
        <w:separator/>
      </w:r>
    </w:p>
  </w:endnote>
  <w:endnote w:type="continuationSeparator" w:id="1">
    <w:p w:rsidR="00341216" w:rsidRDefault="00341216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16" w:rsidRDefault="00341216" w:rsidP="0003174A">
      <w:r>
        <w:separator/>
      </w:r>
    </w:p>
  </w:footnote>
  <w:footnote w:type="continuationSeparator" w:id="1">
    <w:p w:rsidR="00341216" w:rsidRDefault="00341216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C6A7E" w:rsidRDefault="00DC6A7E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C1062A" w:rsidRPr="00C1062A">
          <w:fldChar w:fldCharType="begin"/>
        </w:r>
        <w:r>
          <w:instrText>PAGE   \* MERGEFORMAT</w:instrText>
        </w:r>
        <w:r w:rsidR="00C1062A" w:rsidRPr="00C1062A">
          <w:fldChar w:fldCharType="separate"/>
        </w:r>
        <w:r w:rsidR="00697C96" w:rsidRPr="00697C96">
          <w:rPr>
            <w:b/>
            <w:bCs/>
            <w:noProof/>
          </w:rPr>
          <w:t>1</w:t>
        </w:r>
        <w:r w:rsidR="00C1062A">
          <w:rPr>
            <w:b/>
            <w:bCs/>
          </w:rPr>
          <w:fldChar w:fldCharType="end"/>
        </w:r>
      </w:p>
    </w:sdtContent>
  </w:sdt>
  <w:p w:rsidR="00DC6A7E" w:rsidRDefault="00DC6A7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C6A7E" w:rsidRPr="00F26680" w:rsidRDefault="00DC6A7E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C1062A" w:rsidRPr="00C1062A">
          <w:fldChar w:fldCharType="begin"/>
        </w:r>
        <w:r>
          <w:instrText xml:space="preserve"> PAGE   \* MERGEFORMAT </w:instrText>
        </w:r>
        <w:r w:rsidR="00C1062A" w:rsidRPr="00C1062A">
          <w:fldChar w:fldCharType="separate"/>
        </w:r>
        <w:r w:rsidR="00697C96" w:rsidRPr="00697C96">
          <w:rPr>
            <w:b/>
            <w:noProof/>
          </w:rPr>
          <w:t>4</w:t>
        </w:r>
        <w:r w:rsidR="00C1062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9F"/>
    <w:multiLevelType w:val="hybridMultilevel"/>
    <w:tmpl w:val="AB28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3E7F"/>
    <w:multiLevelType w:val="hybridMultilevel"/>
    <w:tmpl w:val="C678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5A7"/>
    <w:multiLevelType w:val="hybridMultilevel"/>
    <w:tmpl w:val="C3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7993"/>
    <w:multiLevelType w:val="hybridMultilevel"/>
    <w:tmpl w:val="B5EE2346"/>
    <w:lvl w:ilvl="0" w:tplc="BDD670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F9F"/>
    <w:multiLevelType w:val="hybridMultilevel"/>
    <w:tmpl w:val="0568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3F15"/>
    <w:multiLevelType w:val="hybridMultilevel"/>
    <w:tmpl w:val="8074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90206"/>
    <w:multiLevelType w:val="multilevel"/>
    <w:tmpl w:val="C158D9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FC06236"/>
    <w:multiLevelType w:val="hybridMultilevel"/>
    <w:tmpl w:val="E77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23873"/>
    <w:multiLevelType w:val="hybridMultilevel"/>
    <w:tmpl w:val="E102A274"/>
    <w:lvl w:ilvl="0" w:tplc="B4DCF3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94B90"/>
    <w:multiLevelType w:val="hybridMultilevel"/>
    <w:tmpl w:val="33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2739"/>
    <w:multiLevelType w:val="hybridMultilevel"/>
    <w:tmpl w:val="0568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26255"/>
    <w:multiLevelType w:val="hybridMultilevel"/>
    <w:tmpl w:val="37D0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0606"/>
    <w:multiLevelType w:val="hybridMultilevel"/>
    <w:tmpl w:val="6F0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640C8"/>
    <w:multiLevelType w:val="hybridMultilevel"/>
    <w:tmpl w:val="B5EE2346"/>
    <w:lvl w:ilvl="0" w:tplc="BDD670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17EB3"/>
    <w:multiLevelType w:val="hybridMultilevel"/>
    <w:tmpl w:val="CC9E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F2A0D"/>
    <w:multiLevelType w:val="hybridMultilevel"/>
    <w:tmpl w:val="8074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77BEC"/>
    <w:multiLevelType w:val="hybridMultilevel"/>
    <w:tmpl w:val="9FFAD278"/>
    <w:lvl w:ilvl="0" w:tplc="C38C5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17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21"/>
  </w:num>
  <w:num w:numId="13">
    <w:abstractNumId w:val="0"/>
  </w:num>
  <w:num w:numId="14">
    <w:abstractNumId w:val="18"/>
  </w:num>
  <w:num w:numId="15">
    <w:abstractNumId w:val="9"/>
  </w:num>
  <w:num w:numId="16">
    <w:abstractNumId w:val="8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5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444A"/>
    <w:rsid w:val="00004D53"/>
    <w:rsid w:val="0000740F"/>
    <w:rsid w:val="0001629B"/>
    <w:rsid w:val="00020C53"/>
    <w:rsid w:val="000211A4"/>
    <w:rsid w:val="00022A71"/>
    <w:rsid w:val="00026FE1"/>
    <w:rsid w:val="000310C5"/>
    <w:rsid w:val="0003174A"/>
    <w:rsid w:val="00041192"/>
    <w:rsid w:val="0004387C"/>
    <w:rsid w:val="00053740"/>
    <w:rsid w:val="0005465D"/>
    <w:rsid w:val="00056BDD"/>
    <w:rsid w:val="000618E0"/>
    <w:rsid w:val="00063A7B"/>
    <w:rsid w:val="00064896"/>
    <w:rsid w:val="00067066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3E44"/>
    <w:rsid w:val="000B5106"/>
    <w:rsid w:val="000C07AA"/>
    <w:rsid w:val="000C0D3F"/>
    <w:rsid w:val="000D0757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A76"/>
    <w:rsid w:val="00145D2B"/>
    <w:rsid w:val="00170F79"/>
    <w:rsid w:val="001727D3"/>
    <w:rsid w:val="00181A7B"/>
    <w:rsid w:val="001847C4"/>
    <w:rsid w:val="001A1DBB"/>
    <w:rsid w:val="001A2805"/>
    <w:rsid w:val="001A3759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47D4"/>
    <w:rsid w:val="00207056"/>
    <w:rsid w:val="00213360"/>
    <w:rsid w:val="00214532"/>
    <w:rsid w:val="00215BA9"/>
    <w:rsid w:val="00216AB4"/>
    <w:rsid w:val="00222226"/>
    <w:rsid w:val="00232D69"/>
    <w:rsid w:val="00235304"/>
    <w:rsid w:val="00237F37"/>
    <w:rsid w:val="002406B5"/>
    <w:rsid w:val="002445A0"/>
    <w:rsid w:val="0024475D"/>
    <w:rsid w:val="00247428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4E93"/>
    <w:rsid w:val="00277126"/>
    <w:rsid w:val="00295C47"/>
    <w:rsid w:val="00296541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1D70"/>
    <w:rsid w:val="002D59AC"/>
    <w:rsid w:val="002D6289"/>
    <w:rsid w:val="002E0972"/>
    <w:rsid w:val="002E3F35"/>
    <w:rsid w:val="002E5D05"/>
    <w:rsid w:val="002F4248"/>
    <w:rsid w:val="002F5979"/>
    <w:rsid w:val="003037E5"/>
    <w:rsid w:val="0031004F"/>
    <w:rsid w:val="00314269"/>
    <w:rsid w:val="00315797"/>
    <w:rsid w:val="00316D81"/>
    <w:rsid w:val="00317558"/>
    <w:rsid w:val="00321C6E"/>
    <w:rsid w:val="00323B92"/>
    <w:rsid w:val="00326420"/>
    <w:rsid w:val="00331CDF"/>
    <w:rsid w:val="00341216"/>
    <w:rsid w:val="003506CE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1DD4"/>
    <w:rsid w:val="00384AEA"/>
    <w:rsid w:val="00384C9B"/>
    <w:rsid w:val="003873C7"/>
    <w:rsid w:val="00394F86"/>
    <w:rsid w:val="003951F3"/>
    <w:rsid w:val="00397BD4"/>
    <w:rsid w:val="003A1332"/>
    <w:rsid w:val="003A290F"/>
    <w:rsid w:val="003A2D2E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3F6B0D"/>
    <w:rsid w:val="00401169"/>
    <w:rsid w:val="0040385D"/>
    <w:rsid w:val="004069BE"/>
    <w:rsid w:val="00414DC2"/>
    <w:rsid w:val="00415483"/>
    <w:rsid w:val="00415B20"/>
    <w:rsid w:val="004164AF"/>
    <w:rsid w:val="00425DB4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773"/>
    <w:rsid w:val="00470F5D"/>
    <w:rsid w:val="004727A7"/>
    <w:rsid w:val="00474B44"/>
    <w:rsid w:val="00475792"/>
    <w:rsid w:val="00475B90"/>
    <w:rsid w:val="00491BD3"/>
    <w:rsid w:val="0049279A"/>
    <w:rsid w:val="004A04C2"/>
    <w:rsid w:val="004A4E6F"/>
    <w:rsid w:val="004A64AF"/>
    <w:rsid w:val="004A7F3E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439E"/>
    <w:rsid w:val="00546BD4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1D3"/>
    <w:rsid w:val="005D0636"/>
    <w:rsid w:val="005D3D1F"/>
    <w:rsid w:val="005D3E90"/>
    <w:rsid w:val="005D3F04"/>
    <w:rsid w:val="005E0F97"/>
    <w:rsid w:val="005E3947"/>
    <w:rsid w:val="005E5652"/>
    <w:rsid w:val="005F0BA4"/>
    <w:rsid w:val="005F266B"/>
    <w:rsid w:val="005F691C"/>
    <w:rsid w:val="005F6932"/>
    <w:rsid w:val="0060134D"/>
    <w:rsid w:val="00602A64"/>
    <w:rsid w:val="00603CE1"/>
    <w:rsid w:val="00604128"/>
    <w:rsid w:val="00604D80"/>
    <w:rsid w:val="006136CB"/>
    <w:rsid w:val="00616C95"/>
    <w:rsid w:val="00617CB7"/>
    <w:rsid w:val="0062316F"/>
    <w:rsid w:val="00625E70"/>
    <w:rsid w:val="00626100"/>
    <w:rsid w:val="0063752A"/>
    <w:rsid w:val="00637A6B"/>
    <w:rsid w:val="00641A4C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1C1F"/>
    <w:rsid w:val="00693200"/>
    <w:rsid w:val="00697C96"/>
    <w:rsid w:val="006A1DD8"/>
    <w:rsid w:val="006A3D35"/>
    <w:rsid w:val="006B11B9"/>
    <w:rsid w:val="006B11F1"/>
    <w:rsid w:val="006B5385"/>
    <w:rsid w:val="006B6F56"/>
    <w:rsid w:val="006C1A77"/>
    <w:rsid w:val="006C4672"/>
    <w:rsid w:val="006C4C82"/>
    <w:rsid w:val="006C5E04"/>
    <w:rsid w:val="006D185D"/>
    <w:rsid w:val="006D2F32"/>
    <w:rsid w:val="006D32AC"/>
    <w:rsid w:val="006E2B6C"/>
    <w:rsid w:val="006E65AA"/>
    <w:rsid w:val="006F178E"/>
    <w:rsid w:val="006F2F8C"/>
    <w:rsid w:val="0070085E"/>
    <w:rsid w:val="00702C19"/>
    <w:rsid w:val="00710A39"/>
    <w:rsid w:val="0071115A"/>
    <w:rsid w:val="007113D1"/>
    <w:rsid w:val="00714DFC"/>
    <w:rsid w:val="00715458"/>
    <w:rsid w:val="007213F8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09D3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47AD"/>
    <w:rsid w:val="007B734D"/>
    <w:rsid w:val="007C017A"/>
    <w:rsid w:val="007C270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7F78D9"/>
    <w:rsid w:val="00807F06"/>
    <w:rsid w:val="008240F8"/>
    <w:rsid w:val="00825C7A"/>
    <w:rsid w:val="00845461"/>
    <w:rsid w:val="00847F92"/>
    <w:rsid w:val="00854BD5"/>
    <w:rsid w:val="00855AFC"/>
    <w:rsid w:val="00856E97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2A39"/>
    <w:rsid w:val="00883118"/>
    <w:rsid w:val="00885427"/>
    <w:rsid w:val="008938B5"/>
    <w:rsid w:val="008963C8"/>
    <w:rsid w:val="008A139F"/>
    <w:rsid w:val="008A4610"/>
    <w:rsid w:val="008B019D"/>
    <w:rsid w:val="008B179F"/>
    <w:rsid w:val="008B3F6A"/>
    <w:rsid w:val="008B61DE"/>
    <w:rsid w:val="008C4AE9"/>
    <w:rsid w:val="008C6EEA"/>
    <w:rsid w:val="008D255E"/>
    <w:rsid w:val="008D2FB5"/>
    <w:rsid w:val="008D58C0"/>
    <w:rsid w:val="008D6B1B"/>
    <w:rsid w:val="008D6C9D"/>
    <w:rsid w:val="008D7308"/>
    <w:rsid w:val="008D7E6E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3DA5"/>
    <w:rsid w:val="0091459C"/>
    <w:rsid w:val="0091732B"/>
    <w:rsid w:val="00921304"/>
    <w:rsid w:val="0092325F"/>
    <w:rsid w:val="00927EE8"/>
    <w:rsid w:val="00927FDC"/>
    <w:rsid w:val="00932004"/>
    <w:rsid w:val="00932C16"/>
    <w:rsid w:val="00933BC3"/>
    <w:rsid w:val="00941639"/>
    <w:rsid w:val="00945DA7"/>
    <w:rsid w:val="00953928"/>
    <w:rsid w:val="00954524"/>
    <w:rsid w:val="00961AC2"/>
    <w:rsid w:val="0096613F"/>
    <w:rsid w:val="00966F2A"/>
    <w:rsid w:val="00970747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00F9"/>
    <w:rsid w:val="009F506E"/>
    <w:rsid w:val="009F6205"/>
    <w:rsid w:val="00A0006F"/>
    <w:rsid w:val="00A0011A"/>
    <w:rsid w:val="00A01B67"/>
    <w:rsid w:val="00A03504"/>
    <w:rsid w:val="00A05CEB"/>
    <w:rsid w:val="00A063A6"/>
    <w:rsid w:val="00A133C4"/>
    <w:rsid w:val="00A13868"/>
    <w:rsid w:val="00A153EB"/>
    <w:rsid w:val="00A219F0"/>
    <w:rsid w:val="00A21A74"/>
    <w:rsid w:val="00A227AF"/>
    <w:rsid w:val="00A44991"/>
    <w:rsid w:val="00A45005"/>
    <w:rsid w:val="00A46E0D"/>
    <w:rsid w:val="00A55147"/>
    <w:rsid w:val="00A55E47"/>
    <w:rsid w:val="00A60159"/>
    <w:rsid w:val="00A67550"/>
    <w:rsid w:val="00A67567"/>
    <w:rsid w:val="00A755BB"/>
    <w:rsid w:val="00A83D3E"/>
    <w:rsid w:val="00A86D73"/>
    <w:rsid w:val="00AA39C6"/>
    <w:rsid w:val="00AA7628"/>
    <w:rsid w:val="00AA7641"/>
    <w:rsid w:val="00AB0013"/>
    <w:rsid w:val="00AB2108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1162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07FC9"/>
    <w:rsid w:val="00B13233"/>
    <w:rsid w:val="00B16489"/>
    <w:rsid w:val="00B16492"/>
    <w:rsid w:val="00B16FFE"/>
    <w:rsid w:val="00B2466D"/>
    <w:rsid w:val="00B307CE"/>
    <w:rsid w:val="00B31381"/>
    <w:rsid w:val="00B40697"/>
    <w:rsid w:val="00B4252E"/>
    <w:rsid w:val="00B43163"/>
    <w:rsid w:val="00B45041"/>
    <w:rsid w:val="00B45725"/>
    <w:rsid w:val="00B50E82"/>
    <w:rsid w:val="00B5340F"/>
    <w:rsid w:val="00B53A17"/>
    <w:rsid w:val="00B54336"/>
    <w:rsid w:val="00B575CF"/>
    <w:rsid w:val="00B6287B"/>
    <w:rsid w:val="00B62E96"/>
    <w:rsid w:val="00B62F3D"/>
    <w:rsid w:val="00B6428D"/>
    <w:rsid w:val="00B679A0"/>
    <w:rsid w:val="00B67BED"/>
    <w:rsid w:val="00B7194A"/>
    <w:rsid w:val="00B73480"/>
    <w:rsid w:val="00B735DF"/>
    <w:rsid w:val="00B85020"/>
    <w:rsid w:val="00B85522"/>
    <w:rsid w:val="00B928E9"/>
    <w:rsid w:val="00B93E04"/>
    <w:rsid w:val="00B95870"/>
    <w:rsid w:val="00B969C7"/>
    <w:rsid w:val="00BA138B"/>
    <w:rsid w:val="00BA21CD"/>
    <w:rsid w:val="00BB12DF"/>
    <w:rsid w:val="00BB14B6"/>
    <w:rsid w:val="00BB1C3D"/>
    <w:rsid w:val="00BB2F79"/>
    <w:rsid w:val="00BB64C9"/>
    <w:rsid w:val="00BB7941"/>
    <w:rsid w:val="00BC24AC"/>
    <w:rsid w:val="00BC45E7"/>
    <w:rsid w:val="00BD37E2"/>
    <w:rsid w:val="00BD4127"/>
    <w:rsid w:val="00BE76D7"/>
    <w:rsid w:val="00BF05CA"/>
    <w:rsid w:val="00BF4FFA"/>
    <w:rsid w:val="00C1062A"/>
    <w:rsid w:val="00C10A61"/>
    <w:rsid w:val="00C1781E"/>
    <w:rsid w:val="00C20614"/>
    <w:rsid w:val="00C20BF9"/>
    <w:rsid w:val="00C20FC2"/>
    <w:rsid w:val="00C21F5B"/>
    <w:rsid w:val="00C233F9"/>
    <w:rsid w:val="00C36FBF"/>
    <w:rsid w:val="00C372B2"/>
    <w:rsid w:val="00C44DEE"/>
    <w:rsid w:val="00C46D2D"/>
    <w:rsid w:val="00C521FD"/>
    <w:rsid w:val="00C52B4C"/>
    <w:rsid w:val="00C5437A"/>
    <w:rsid w:val="00C57324"/>
    <w:rsid w:val="00C61DB6"/>
    <w:rsid w:val="00C63089"/>
    <w:rsid w:val="00C67DD6"/>
    <w:rsid w:val="00C714C9"/>
    <w:rsid w:val="00C71B50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2D85"/>
    <w:rsid w:val="00CB4992"/>
    <w:rsid w:val="00CC007D"/>
    <w:rsid w:val="00CC2EFB"/>
    <w:rsid w:val="00CC67CC"/>
    <w:rsid w:val="00CC7867"/>
    <w:rsid w:val="00CD459B"/>
    <w:rsid w:val="00CD4C88"/>
    <w:rsid w:val="00CD7835"/>
    <w:rsid w:val="00CE3334"/>
    <w:rsid w:val="00CE6535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7C82"/>
    <w:rsid w:val="00D23AB2"/>
    <w:rsid w:val="00D2466E"/>
    <w:rsid w:val="00D34F90"/>
    <w:rsid w:val="00D422A0"/>
    <w:rsid w:val="00D42D6B"/>
    <w:rsid w:val="00D44C01"/>
    <w:rsid w:val="00D47B10"/>
    <w:rsid w:val="00D52611"/>
    <w:rsid w:val="00D52E34"/>
    <w:rsid w:val="00D54CBD"/>
    <w:rsid w:val="00D63987"/>
    <w:rsid w:val="00D63C01"/>
    <w:rsid w:val="00D66E99"/>
    <w:rsid w:val="00D72212"/>
    <w:rsid w:val="00D75CA9"/>
    <w:rsid w:val="00D77461"/>
    <w:rsid w:val="00D776DC"/>
    <w:rsid w:val="00D828A1"/>
    <w:rsid w:val="00D864FE"/>
    <w:rsid w:val="00D8721C"/>
    <w:rsid w:val="00D907BD"/>
    <w:rsid w:val="00D950EF"/>
    <w:rsid w:val="00DA0ABE"/>
    <w:rsid w:val="00DB281F"/>
    <w:rsid w:val="00DB47D6"/>
    <w:rsid w:val="00DB4E4A"/>
    <w:rsid w:val="00DB5889"/>
    <w:rsid w:val="00DC02E6"/>
    <w:rsid w:val="00DC6A7E"/>
    <w:rsid w:val="00DC6BDE"/>
    <w:rsid w:val="00DD17A4"/>
    <w:rsid w:val="00DD5DC2"/>
    <w:rsid w:val="00DD6130"/>
    <w:rsid w:val="00DE596C"/>
    <w:rsid w:val="00DF7830"/>
    <w:rsid w:val="00E02A02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534"/>
    <w:rsid w:val="00E35CD9"/>
    <w:rsid w:val="00E35FB4"/>
    <w:rsid w:val="00E40173"/>
    <w:rsid w:val="00E42495"/>
    <w:rsid w:val="00E425E6"/>
    <w:rsid w:val="00E4286A"/>
    <w:rsid w:val="00E44EA4"/>
    <w:rsid w:val="00E52623"/>
    <w:rsid w:val="00E63B94"/>
    <w:rsid w:val="00E6442D"/>
    <w:rsid w:val="00E672A0"/>
    <w:rsid w:val="00E723BC"/>
    <w:rsid w:val="00E836BF"/>
    <w:rsid w:val="00E9310E"/>
    <w:rsid w:val="00E93278"/>
    <w:rsid w:val="00EA0903"/>
    <w:rsid w:val="00EA0D17"/>
    <w:rsid w:val="00EA2C72"/>
    <w:rsid w:val="00EB0930"/>
    <w:rsid w:val="00EB57A9"/>
    <w:rsid w:val="00EC70A1"/>
    <w:rsid w:val="00ED2108"/>
    <w:rsid w:val="00ED379B"/>
    <w:rsid w:val="00ED77ED"/>
    <w:rsid w:val="00EE0480"/>
    <w:rsid w:val="00EE313C"/>
    <w:rsid w:val="00EF1267"/>
    <w:rsid w:val="00EF171E"/>
    <w:rsid w:val="00EF4F26"/>
    <w:rsid w:val="00EF6F6B"/>
    <w:rsid w:val="00F03510"/>
    <w:rsid w:val="00F041B1"/>
    <w:rsid w:val="00F10071"/>
    <w:rsid w:val="00F16E06"/>
    <w:rsid w:val="00F21403"/>
    <w:rsid w:val="00F26680"/>
    <w:rsid w:val="00F27410"/>
    <w:rsid w:val="00F314CE"/>
    <w:rsid w:val="00F35D83"/>
    <w:rsid w:val="00F36117"/>
    <w:rsid w:val="00F37D6F"/>
    <w:rsid w:val="00F43DF5"/>
    <w:rsid w:val="00F51DED"/>
    <w:rsid w:val="00F604FC"/>
    <w:rsid w:val="00F612F9"/>
    <w:rsid w:val="00F6461D"/>
    <w:rsid w:val="00F664BA"/>
    <w:rsid w:val="00F726D0"/>
    <w:rsid w:val="00F7498E"/>
    <w:rsid w:val="00F75D02"/>
    <w:rsid w:val="00F82901"/>
    <w:rsid w:val="00F834B1"/>
    <w:rsid w:val="00F83927"/>
    <w:rsid w:val="00F842C6"/>
    <w:rsid w:val="00F915F0"/>
    <w:rsid w:val="00F91C03"/>
    <w:rsid w:val="00F9241D"/>
    <w:rsid w:val="00F93B5E"/>
    <w:rsid w:val="00F94AD7"/>
    <w:rsid w:val="00FA0BD5"/>
    <w:rsid w:val="00FA3E60"/>
    <w:rsid w:val="00FA6F5F"/>
    <w:rsid w:val="00FB33F6"/>
    <w:rsid w:val="00FB4D38"/>
    <w:rsid w:val="00FB67E7"/>
    <w:rsid w:val="00FC484B"/>
    <w:rsid w:val="00FC4B00"/>
    <w:rsid w:val="00FC5684"/>
    <w:rsid w:val="00FC5CD3"/>
    <w:rsid w:val="00FD47F9"/>
    <w:rsid w:val="00FD6D64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ate">
    <w:name w:val="date"/>
    <w:basedOn w:val="Policepardfaut"/>
    <w:rsid w:val="0093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1164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2016-01-23T08:59:00Z</cp:lastPrinted>
  <dcterms:created xsi:type="dcterms:W3CDTF">2016-08-15T14:07:00Z</dcterms:created>
  <dcterms:modified xsi:type="dcterms:W3CDTF">2016-10-20T12:16:00Z</dcterms:modified>
</cp:coreProperties>
</file>