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2673"/>
        <w:gridCol w:w="982"/>
        <w:gridCol w:w="553"/>
        <w:gridCol w:w="840"/>
        <w:gridCol w:w="741"/>
        <w:gridCol w:w="741"/>
        <w:gridCol w:w="1679"/>
        <w:gridCol w:w="1830"/>
        <w:gridCol w:w="1121"/>
        <w:gridCol w:w="1106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Matières</w:t>
            </w:r>
          </w:p>
        </w:tc>
        <w:tc>
          <w:tcPr>
            <w:tcW w:w="3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1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0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8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/>
            <w:tcW w:w="7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1077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1F5C31" w:rsidTr="00B33173">
        <w:trPr>
          <w:trHeight w:val="1110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1F5C31" w:rsidTr="00B33173">
        <w:trPr>
          <w:cnfStyle w:val="000000100000"/>
          <w:trHeight w:val="288"/>
          <w:jc w:val="center"/>
        </w:trPr>
        <w:tc>
          <w:tcPr>
            <w:cnfStyle w:val="001000000000"/>
            <w:tcW w:w="7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92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8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1134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1F5C31" w:rsidTr="00B33173">
        <w:trPr>
          <w:trHeight w:val="1077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1F5C31" w:rsidTr="00B3317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p w:rsidR="001F5C31" w:rsidRDefault="001F5C31" w:rsidP="001F5C31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tcBorders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1F5C31" w:rsidRDefault="001F5C31" w:rsidP="00B33173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Electronique fondamentale 1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Electrotechnique fondamentale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531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</w:tr>
      <w:tr w:rsidR="001F5C31" w:rsidTr="00B33173">
        <w:trPr>
          <w:trHeight w:val="68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Electronique 1 et électrotechnique 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lang w:eastAsia="en-US"/>
              </w:rPr>
            </w:pPr>
          </w:p>
        </w:tc>
      </w:tr>
      <w:tr w:rsidR="001F5C31" w:rsidTr="00B3317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</w:tr>
      <w:tr w:rsidR="001F5C31" w:rsidTr="00B33173">
        <w:trPr>
          <w:trHeight w:val="64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Etat de l'art du génie électrique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  <w:r>
              <w:rPr>
                <w:lang w:eastAsia="en-US"/>
              </w:rPr>
              <w:t>Energies et environnement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Systèmes asservis linéaires et continus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Logique combinatoire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Méthodes numériques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Théorie du signal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trHeight w:val="531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Mesures électriques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électroniques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1F5C31" w:rsidTr="00B33173">
        <w:trPr>
          <w:cnfStyle w:val="000000100000"/>
          <w:trHeight w:val="45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Systèmes asservis linéaires et continus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</w:tr>
      <w:tr w:rsidR="001F5C31" w:rsidTr="00B33173">
        <w:trPr>
          <w:trHeight w:val="68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 xml:space="preserve">TP Logique combinatoire 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et séquentielle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000000"/>
              <w:rPr>
                <w:lang w:eastAsia="en-US"/>
              </w:rPr>
            </w:pPr>
          </w:p>
        </w:tc>
      </w:tr>
      <w:tr w:rsidR="001F5C31" w:rsidTr="00B33173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TP Méthodes numériques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</w:p>
        </w:tc>
      </w:tr>
      <w:tr w:rsidR="001F5C31" w:rsidTr="00B33173">
        <w:trPr>
          <w:trHeight w:val="56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Architecture des Systèmes automatisés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cnfStyle w:val="000000100000"/>
              <w:rPr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Sécurité électrique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 w:rsidRPr="00D35160">
              <w:rPr>
                <w:rFonts w:asciiTheme="majorHAnsi" w:eastAsia="Times New Roman" w:hAnsiTheme="majorHAnsi"/>
                <w:color w:val="000000"/>
                <w:lang w:eastAsia="fr-FR"/>
              </w:rPr>
              <w:t>Techniques d'expression et de communication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1F5C31" w:rsidTr="00B3317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2020A6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3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RPr="00834194" w:rsidTr="00B33173">
        <w:trPr>
          <w:trHeight w:val="454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:rsidTr="00B33173">
        <w:trPr>
          <w:cnfStyle w:val="000000100000"/>
          <w:trHeight w:val="340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Electronique de puissance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:rsidTr="00B33173">
        <w:trPr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Modélisation et   identification des systèmes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cnfStyle w:val="000000100000"/>
          <w:trHeight w:val="39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Micro-processeurs et Micro- contrôleurs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60%</w:t>
            </w:r>
          </w:p>
        </w:tc>
      </w:tr>
      <w:tr w:rsidR="001F5C31" w:rsidRPr="00834194" w:rsidTr="00B33173">
        <w:trPr>
          <w:trHeight w:val="434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Programmation en C++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cnfStyle w:val="000000100000"/>
          <w:trHeight w:val="531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55425F">
              <w:rPr>
                <w:rFonts w:asciiTheme="majorHAnsi" w:hAnsiTheme="majorHAnsi" w:cs="Arial"/>
                <w:sz w:val="20"/>
                <w:szCs w:val="20"/>
              </w:rPr>
              <w:t>Commande des systèmes linéaires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trHeight w:val="45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Electronique de puissance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  <w:bCs/>
              </w:rPr>
            </w:pPr>
            <w:r w:rsidRPr="00834194"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cnfStyle w:val="000000100000"/>
          <w:trHeight w:val="45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 Modélisation et identification des systèmes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trHeight w:val="54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TP Micro-processeurs et  Micro- contrôleurs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cnfStyle w:val="000000100000"/>
          <w:trHeight w:val="33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>TP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Programmation en C++           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</w:tr>
      <w:tr w:rsidR="001F5C31" w:rsidRPr="00834194" w:rsidTr="00B33173">
        <w:trPr>
          <w:trHeight w:val="379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Normes et Certification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cnfStyle w:val="000000100000"/>
          <w:trHeight w:val="44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Pr="00834194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iCs/>
                <w:sz w:val="20"/>
                <w:szCs w:val="20"/>
              </w:rPr>
              <w:t>Energies renouvelables</w:t>
            </w:r>
            <w:r w:rsidRPr="0055425F">
              <w:rPr>
                <w:rFonts w:asciiTheme="majorHAnsi" w:hAnsiTheme="majorHAnsi"/>
                <w:sz w:val="20"/>
                <w:szCs w:val="20"/>
              </w:rPr>
              <w:t> :</w:t>
            </w:r>
          </w:p>
          <w:p w:rsidR="001F5C31" w:rsidRPr="0055425F" w:rsidRDefault="001F5C31" w:rsidP="00B33173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Production et stockage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34194" w:rsidRDefault="001F5C31" w:rsidP="00B33173">
            <w:pPr>
              <w:jc w:val="center"/>
              <w:cnfStyle w:val="000000100000"/>
              <w:rPr>
                <w:rFonts w:asciiTheme="majorHAns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55425F" w:rsidRDefault="001F5C31" w:rsidP="00B33173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55425F">
              <w:rPr>
                <w:rFonts w:asciiTheme="majorHAnsi" w:hAnsiTheme="majorHAnsi"/>
                <w:sz w:val="20"/>
                <w:szCs w:val="20"/>
              </w:rPr>
              <w:t xml:space="preserve">Anglais et Automatique     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eastAsia="Calibri" w:hAnsiTheme="majorHAnsi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0</w:t>
            </w:r>
            <w:r w:rsidRPr="00834194">
              <w:rPr>
                <w:rFonts w:asciiTheme="majorHAnsi" w:eastAsia="Calibri" w:hAnsiTheme="majorHAnsi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</w:rPr>
            </w:pPr>
            <w:r w:rsidRPr="00834194">
              <w:rPr>
                <w:rFonts w:asciiTheme="majorHAnsi" w:hAnsiTheme="majorHAnsi"/>
              </w:rPr>
              <w:t>100%</w:t>
            </w:r>
          </w:p>
        </w:tc>
      </w:tr>
      <w:tr w:rsidR="001F5C31" w:rsidRPr="00834194" w:rsidTr="00B33173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834194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34194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34194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Pr="00834194" w:rsidRDefault="001F5C31" w:rsidP="00B33173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1F5C31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1F5C31" w:rsidRDefault="001F5C31" w:rsidP="001F5C31">
      <w:pPr>
        <w:spacing w:after="12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2665"/>
        <w:gridCol w:w="976"/>
        <w:gridCol w:w="550"/>
        <w:gridCol w:w="869"/>
        <w:gridCol w:w="739"/>
        <w:gridCol w:w="742"/>
        <w:gridCol w:w="1677"/>
        <w:gridCol w:w="1825"/>
        <w:gridCol w:w="1115"/>
        <w:gridCol w:w="1115"/>
      </w:tblGrid>
      <w:tr w:rsidR="001F5C31" w:rsidTr="00B33173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20" w:type="pct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Intitulé</w:t>
            </w:r>
          </w:p>
        </w:tc>
        <w:tc>
          <w:tcPr>
            <w:tcW w:w="33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0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F5C31" w:rsidRPr="007E00B8" w:rsidRDefault="001F5C31" w:rsidP="00B33173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7E00B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11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7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F5C31" w:rsidTr="00B33173">
        <w:trPr>
          <w:cnfStyle w:val="000000100000"/>
          <w:trHeight w:val="757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1F5C31" w:rsidTr="00B33173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  <w:snapToGrid w:val="0"/>
              </w:rPr>
              <w:t>Systèmes Asservis  échantillonnés 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:rsidTr="00B33173">
        <w:trPr>
          <w:cnfStyle w:val="000000100000"/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Actionneurs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:rsidTr="00B33173">
        <w:trPr>
          <w:trHeight w:val="416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Capteurs et chaines de mesure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1F5C31" w:rsidTr="00B33173">
        <w:trPr>
          <w:cnfStyle w:val="000000100000"/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2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Automates</w:t>
            </w:r>
            <w:bookmarkStart w:id="0" w:name="_GoBack"/>
            <w:bookmarkEnd w:id="0"/>
            <w:r w:rsidRPr="008D0552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programma-   </w:t>
            </w:r>
            <w:proofErr w:type="spellStart"/>
            <w:r w:rsidRPr="008D0552">
              <w:rPr>
                <w:rFonts w:asciiTheme="majorHAnsi" w:hAnsiTheme="majorHAnsi" w:cs="Arial"/>
              </w:rPr>
              <w:t>bles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industriels (API)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67h30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82h30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40%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60%</w:t>
            </w:r>
          </w:p>
        </w:tc>
      </w:tr>
      <w:tr w:rsidR="001F5C31" w:rsidTr="00B33173">
        <w:trPr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Bus de communications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Pr="008D0552">
              <w:rPr>
                <w:rFonts w:asciiTheme="majorHAnsi" w:hAnsiTheme="majorHAnsi" w:cs="Arial"/>
              </w:rPr>
              <w:t>0%</w:t>
            </w:r>
          </w:p>
        </w:tc>
      </w:tr>
      <w:tr w:rsidR="001F5C31" w:rsidTr="00B33173">
        <w:trPr>
          <w:cnfStyle w:val="000000100000"/>
          <w:trHeight w:val="247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Projet de Fin de Cycle   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4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3h00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/>
                <w:bCs/>
              </w:rPr>
            </w:pPr>
            <w:r w:rsidRPr="008D0552">
              <w:rPr>
                <w:rFonts w:asciiTheme="majorHAnsi" w:eastAsia="Calibri" w:hAnsiTheme="majorHAnsi" w:cs="Arial"/>
              </w:rPr>
              <w:t>55h00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trHeight w:val="45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Capteurs et Actionneurs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cnfStyle w:val="000000100000"/>
          <w:trHeight w:val="454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Les automates </w:t>
            </w:r>
            <w:proofErr w:type="spellStart"/>
            <w:r>
              <w:rPr>
                <w:rFonts w:asciiTheme="majorHAnsi" w:hAnsiTheme="majorHAnsi" w:cs="Arial"/>
              </w:rPr>
              <w:t>progra</w:t>
            </w:r>
            <w:proofErr w:type="spellEnd"/>
            <w:r>
              <w:rPr>
                <w:rFonts w:asciiTheme="majorHAnsi" w:hAnsiTheme="majorHAnsi" w:cs="Arial"/>
              </w:rPr>
              <w:t xml:space="preserve">-      </w:t>
            </w:r>
            <w:proofErr w:type="spellStart"/>
            <w:r w:rsidRPr="008D0552">
              <w:rPr>
                <w:rFonts w:asciiTheme="majorHAnsi" w:hAnsiTheme="majorHAnsi" w:cs="Arial"/>
              </w:rPr>
              <w:t>mmables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27h30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trHeight w:val="4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 xml:space="preserve">TP Bus de </w:t>
            </w:r>
            <w:proofErr w:type="spellStart"/>
            <w:r>
              <w:rPr>
                <w:rFonts w:asciiTheme="majorHAnsi" w:hAnsiTheme="majorHAnsi" w:cs="Arial"/>
              </w:rPr>
              <w:t>communicati</w:t>
            </w:r>
            <w:proofErr w:type="spellEnd"/>
            <w:r>
              <w:rPr>
                <w:rFonts w:asciiTheme="majorHAnsi" w:hAnsiTheme="majorHAnsi" w:cs="Arial"/>
              </w:rPr>
              <w:t xml:space="preserve">-      </w:t>
            </w:r>
            <w:proofErr w:type="spellStart"/>
            <w:r w:rsidRPr="008D0552">
              <w:rPr>
                <w:rFonts w:asciiTheme="majorHAnsi" w:hAnsiTheme="majorHAnsi" w:cs="Arial"/>
              </w:rPr>
              <w:t>ons</w:t>
            </w:r>
            <w:proofErr w:type="spellEnd"/>
            <w:r w:rsidRPr="008D0552">
              <w:rPr>
                <w:rFonts w:asciiTheme="majorHAnsi" w:hAnsiTheme="majorHAnsi" w:cs="Arial"/>
              </w:rPr>
              <w:t xml:space="preserve"> et réseaux industriels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1h00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10h00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</w:tr>
      <w:tr w:rsidR="001F5C31" w:rsidTr="00B33173">
        <w:trPr>
          <w:cnfStyle w:val="000000100000"/>
          <w:trHeight w:val="588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Installations électriques en automatique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1F5C31" w:rsidTr="00B33173">
        <w:trPr>
          <w:trHeight w:val="240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F5C31" w:rsidRDefault="001F5C31" w:rsidP="00B33173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Maintenance et fiabilité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0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1F5C31" w:rsidTr="00B33173">
        <w:trPr>
          <w:cnfStyle w:val="000000100000"/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1F5C31" w:rsidRDefault="001F5C31" w:rsidP="00B33173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/>
              </w:rPr>
              <w:t xml:space="preserve">Projet professionnel et gestion d'entreprise </w:t>
            </w:r>
            <w:r w:rsidRPr="008D0552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 w:rsidRPr="008D0552"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1h30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 w:rsidRPr="008D0552">
              <w:rPr>
                <w:rFonts w:asciiTheme="majorHAnsi" w:eastAsia="Calibri" w:hAnsiTheme="majorHAnsi" w:cs="Arial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</w:t>
            </w:r>
            <w:r w:rsidRPr="008D0552">
              <w:rPr>
                <w:rFonts w:asciiTheme="majorHAnsi" w:eastAsia="Calibri" w:hAnsiTheme="majorHAnsi" w:cs="Arial"/>
              </w:rPr>
              <w:t>2h30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Arial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hAnsiTheme="majorHAnsi" w:cs="Arial"/>
              </w:rPr>
            </w:pPr>
            <w:r w:rsidRPr="008D0552">
              <w:rPr>
                <w:rFonts w:asciiTheme="majorHAnsi" w:hAnsiTheme="majorHAnsi" w:cs="Arial"/>
              </w:rPr>
              <w:t>100%</w:t>
            </w:r>
          </w:p>
        </w:tc>
      </w:tr>
      <w:tr w:rsidR="001F5C31" w:rsidTr="00B33173">
        <w:trPr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1F5C31" w:rsidRDefault="001F5C31" w:rsidP="00B33173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6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8D0552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h30</w:t>
            </w:r>
          </w:p>
        </w:tc>
        <w:tc>
          <w:tcPr>
            <w:tcW w:w="2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D0552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D0552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1F5C31" w:rsidRPr="008D0552" w:rsidRDefault="001F5C31" w:rsidP="00B33173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1F5C31" w:rsidRDefault="001F5C31" w:rsidP="001F5C31">
      <w:pPr>
        <w:rPr>
          <w:rFonts w:asciiTheme="majorHAnsi" w:eastAsiaTheme="minorHAnsi" w:hAnsiTheme="majorHAnsi" w:cstheme="minorBidi"/>
        </w:rPr>
        <w:sectPr w:rsidR="001F5C31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1F5C31"/>
    <w:sectPr w:rsidR="00A039E3" w:rsidSect="001F5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5C31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5C31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1F5C31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F5C31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F5C31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F5C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5C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F5C3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1F5C31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1F5C3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1F5C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1F5C3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1F5C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1F5C31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1F5C31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1F5C31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1F5C31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1F5C31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1F5C31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1F5C31"/>
  </w:style>
  <w:style w:type="paragraph" w:styleId="En-tte">
    <w:name w:val="header"/>
    <w:basedOn w:val="Normal"/>
    <w:link w:val="En-tteCar"/>
    <w:uiPriority w:val="99"/>
    <w:rsid w:val="001F5C31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1F5C31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5C3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1F5C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1F5C31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F5C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1F5C31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F5C31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F5C3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F5C31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5C3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1F5C31"/>
  </w:style>
  <w:style w:type="paragraph" w:styleId="TM2">
    <w:name w:val="toc 2"/>
    <w:basedOn w:val="Normal"/>
    <w:next w:val="Normal"/>
    <w:autoRedefine/>
    <w:uiPriority w:val="39"/>
    <w:rsid w:val="001F5C3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1F5C31"/>
    <w:pPr>
      <w:ind w:left="480"/>
    </w:pPr>
  </w:style>
  <w:style w:type="character" w:styleId="Lienhypertexte">
    <w:name w:val="Hyperlink"/>
    <w:basedOn w:val="Policepardfaut"/>
    <w:uiPriority w:val="99"/>
    <w:unhideWhenUsed/>
    <w:rsid w:val="001F5C3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F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1F5C31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1F5C31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5C31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1F5C31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1F5C31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1F5C31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1F5C31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1F5C31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uiPriority w:val="99"/>
    <w:rsid w:val="001F5C31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1F5C31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1F5C3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1F5C31"/>
  </w:style>
  <w:style w:type="character" w:customStyle="1" w:styleId="a-size-large">
    <w:name w:val="a-size-large"/>
    <w:basedOn w:val="Policepardfaut"/>
    <w:rsid w:val="001F5C31"/>
  </w:style>
  <w:style w:type="paragraph" w:customStyle="1" w:styleId="Default">
    <w:name w:val="Default"/>
    <w:rsid w:val="001F5C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1F5C31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1F5C3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1F5C31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F5C3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F5C3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1F5C31"/>
  </w:style>
  <w:style w:type="character" w:styleId="Accentuation">
    <w:name w:val="Emphasis"/>
    <w:basedOn w:val="Policepardfaut"/>
    <w:uiPriority w:val="20"/>
    <w:qFormat/>
    <w:rsid w:val="001F5C31"/>
    <w:rPr>
      <w:i/>
      <w:iCs/>
    </w:rPr>
  </w:style>
  <w:style w:type="character" w:customStyle="1" w:styleId="a-size-small">
    <w:name w:val="a-size-small"/>
    <w:basedOn w:val="Policepardfaut"/>
    <w:rsid w:val="001F5C31"/>
  </w:style>
  <w:style w:type="character" w:customStyle="1" w:styleId="st">
    <w:name w:val="st"/>
    <w:basedOn w:val="Policepardfaut"/>
    <w:rsid w:val="001F5C31"/>
  </w:style>
  <w:style w:type="character" w:styleId="Lienhypertextesuivivisit">
    <w:name w:val="FollowedHyperlink"/>
    <w:basedOn w:val="Policepardfaut"/>
    <w:uiPriority w:val="99"/>
    <w:semiHidden/>
    <w:unhideWhenUsed/>
    <w:rsid w:val="001F5C31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1F5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1F5C31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1F5C3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1F5C3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1F5C3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1F5C3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1F5C3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1F5C3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uiPriority w:val="22"/>
    <w:qFormat/>
    <w:rsid w:val="001F5C31"/>
    <w:rPr>
      <w:b/>
      <w:bCs/>
    </w:rPr>
  </w:style>
  <w:style w:type="paragraph" w:styleId="Sansinterligne">
    <w:name w:val="No Spacing"/>
    <w:uiPriority w:val="1"/>
    <w:qFormat/>
    <w:rsid w:val="001F5C31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1F5C31"/>
    <w:rPr>
      <w:rFonts w:ascii="Arial" w:hAnsi="Arial" w:cs="Arial" w:hint="default"/>
    </w:rPr>
  </w:style>
  <w:style w:type="character" w:customStyle="1" w:styleId="a-declarative">
    <w:name w:val="a-declarative"/>
    <w:rsid w:val="001F5C31"/>
  </w:style>
  <w:style w:type="character" w:customStyle="1" w:styleId="a-color-secondary">
    <w:name w:val="a-color-secondary"/>
    <w:rsid w:val="001F5C31"/>
  </w:style>
  <w:style w:type="character" w:customStyle="1" w:styleId="a-size-medium2">
    <w:name w:val="a-size-medium2"/>
    <w:rsid w:val="001F5C31"/>
    <w:rPr>
      <w:rFonts w:ascii="Arial" w:hAnsi="Arial" w:cs="Arial" w:hint="default"/>
    </w:rPr>
  </w:style>
  <w:style w:type="character" w:customStyle="1" w:styleId="fontnormal">
    <w:name w:val="fontnormal"/>
    <w:rsid w:val="001F5C31"/>
  </w:style>
  <w:style w:type="character" w:customStyle="1" w:styleId="texte150noirg">
    <w:name w:val="texte150noirg"/>
    <w:rsid w:val="001F5C31"/>
  </w:style>
  <w:style w:type="character" w:customStyle="1" w:styleId="texte120noirg">
    <w:name w:val="texte120noirg"/>
    <w:rsid w:val="001F5C31"/>
  </w:style>
  <w:style w:type="character" w:customStyle="1" w:styleId="texte110noirg">
    <w:name w:val="texte110noirg"/>
    <w:rsid w:val="001F5C31"/>
  </w:style>
  <w:style w:type="character" w:customStyle="1" w:styleId="CorpsdetexteCar1">
    <w:name w:val="Corps de texte Car1"/>
    <w:uiPriority w:val="99"/>
    <w:locked/>
    <w:rsid w:val="001F5C31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1F5C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1F5C31"/>
  </w:style>
  <w:style w:type="paragraph" w:customStyle="1" w:styleId="yiv304078321msonormal">
    <w:name w:val="yiv304078321msonormal"/>
    <w:basedOn w:val="Normal"/>
    <w:rsid w:val="001F5C31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1F5C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5C3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1F5C31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1F5C31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1F5C31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1F5C31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1F5C31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1F5C31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1F5C31"/>
  </w:style>
  <w:style w:type="character" w:customStyle="1" w:styleId="tlfcmot">
    <w:name w:val="tlf_cmot"/>
    <w:basedOn w:val="Policepardfaut"/>
    <w:rsid w:val="001F5C31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C31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C31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1F5C31"/>
    <w:rPr>
      <w:b/>
      <w:bCs/>
    </w:rPr>
  </w:style>
  <w:style w:type="table" w:styleId="Grillemoyenne2-Accent6">
    <w:name w:val="Medium Grid 2 Accent 6"/>
    <w:basedOn w:val="TableauNormal"/>
    <w:uiPriority w:val="68"/>
    <w:rsid w:val="001F5C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1F5C31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1F5C31"/>
    <w:pPr>
      <w:numPr>
        <w:numId w:val="2"/>
      </w:numPr>
      <w:ind w:left="567" w:hanging="207"/>
    </w:pPr>
  </w:style>
  <w:style w:type="character" w:customStyle="1" w:styleId="En-tteCar1">
    <w:name w:val="En-tête Car1"/>
    <w:locked/>
    <w:rsid w:val="001F5C31"/>
    <w:rPr>
      <w:rFonts w:eastAsia="Times New Roman"/>
    </w:rPr>
  </w:style>
  <w:style w:type="character" w:customStyle="1" w:styleId="author">
    <w:name w:val="author"/>
    <w:basedOn w:val="Policepardfaut"/>
    <w:rsid w:val="001F5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1191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2016-10-20T11:06:00Z</dcterms:created>
  <dcterms:modified xsi:type="dcterms:W3CDTF">2016-10-20T11:13:00Z</dcterms:modified>
</cp:coreProperties>
</file>